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EAB" w:rsidRPr="001F3EAB" w:rsidRDefault="001F3EAB" w:rsidP="00DB35E9">
      <w:pPr>
        <w:jc w:val="center"/>
        <w:rPr>
          <w:rFonts w:ascii="Cambria" w:hAnsi="Cambria"/>
          <w:b/>
          <w:sz w:val="24"/>
          <w:szCs w:val="24"/>
          <w:u w:val="single"/>
          <w:lang w:val="en-PH"/>
        </w:rPr>
      </w:pPr>
      <w:bookmarkStart w:id="0" w:name="_GoBack"/>
      <w:r w:rsidRPr="001F3EAB">
        <w:rPr>
          <w:rFonts w:ascii="Cambria" w:hAnsi="Cambria"/>
          <w:b/>
          <w:sz w:val="24"/>
          <w:szCs w:val="24"/>
          <w:u w:val="single"/>
          <w:lang w:val="en-PH"/>
        </w:rPr>
        <w:t xml:space="preserve">004-2019 </w:t>
      </w:r>
      <w:proofErr w:type="spellStart"/>
      <w:r w:rsidRPr="001F3EAB">
        <w:rPr>
          <w:rFonts w:ascii="Cambria" w:hAnsi="Cambria"/>
          <w:b/>
          <w:sz w:val="24"/>
          <w:szCs w:val="24"/>
          <w:u w:val="single"/>
          <w:lang w:val="en-PH"/>
        </w:rPr>
        <w:t>CFAPolicy</w:t>
      </w:r>
      <w:proofErr w:type="spellEnd"/>
      <w:r w:rsidRPr="001F3EAB">
        <w:rPr>
          <w:rFonts w:ascii="Cambria" w:hAnsi="Cambria"/>
          <w:b/>
          <w:sz w:val="24"/>
          <w:szCs w:val="24"/>
          <w:u w:val="single"/>
          <w:lang w:val="en-PH"/>
        </w:rPr>
        <w:t xml:space="preserve"> agenda setting</w:t>
      </w:r>
    </w:p>
    <w:bookmarkEnd w:id="0"/>
    <w:p w:rsidR="001F3EAB" w:rsidRDefault="001F3EAB" w:rsidP="00DB35E9">
      <w:pPr>
        <w:jc w:val="center"/>
        <w:rPr>
          <w:rFonts w:ascii="Cambria" w:hAnsi="Cambria"/>
          <w:b/>
          <w:sz w:val="24"/>
          <w:szCs w:val="24"/>
          <w:lang w:val="en-PH"/>
        </w:rPr>
      </w:pPr>
    </w:p>
    <w:p w:rsidR="00DB35E9" w:rsidRPr="00722646" w:rsidRDefault="00DB35E9" w:rsidP="00DB35E9">
      <w:pPr>
        <w:jc w:val="center"/>
        <w:rPr>
          <w:rFonts w:ascii="Cambria" w:hAnsi="Cambria"/>
          <w:b/>
          <w:sz w:val="24"/>
          <w:szCs w:val="24"/>
          <w:lang w:val="en-PH"/>
        </w:rPr>
      </w:pPr>
      <w:r w:rsidRPr="00722646">
        <w:rPr>
          <w:rFonts w:ascii="Cambria" w:hAnsi="Cambria"/>
          <w:b/>
          <w:sz w:val="24"/>
          <w:szCs w:val="24"/>
          <w:lang w:val="en-PH"/>
        </w:rPr>
        <w:t>POLICY AGENDA SETTING WORKSHOP FOR 2019</w:t>
      </w:r>
    </w:p>
    <w:p w:rsidR="00DB35E9" w:rsidRPr="00722646" w:rsidRDefault="00DB35E9" w:rsidP="00DB35E9">
      <w:pPr>
        <w:jc w:val="center"/>
        <w:rPr>
          <w:rFonts w:ascii="Cambria" w:hAnsi="Cambria"/>
          <w:b/>
          <w:sz w:val="24"/>
          <w:szCs w:val="24"/>
          <w:lang w:val="en-PH"/>
        </w:rPr>
      </w:pPr>
      <w:proofErr w:type="gramStart"/>
      <w:r w:rsidRPr="00722646">
        <w:rPr>
          <w:rFonts w:ascii="Cambria" w:hAnsi="Cambria"/>
          <w:b/>
          <w:sz w:val="24"/>
          <w:szCs w:val="24"/>
          <w:lang w:val="en-PH"/>
        </w:rPr>
        <w:t>COMMITTEE :</w:t>
      </w:r>
      <w:proofErr w:type="gramEnd"/>
      <w:r w:rsidRPr="00722646">
        <w:rPr>
          <w:rFonts w:ascii="Cambria" w:hAnsi="Cambria"/>
          <w:b/>
          <w:sz w:val="24"/>
          <w:szCs w:val="24"/>
          <w:lang w:val="en-PH"/>
        </w:rPr>
        <w:t xml:space="preserve"> FISHERIES AND AQUACULTURE</w:t>
      </w:r>
    </w:p>
    <w:p w:rsidR="00722646" w:rsidRPr="00DB35E9" w:rsidRDefault="00722646" w:rsidP="00DB35E9">
      <w:pPr>
        <w:jc w:val="center"/>
        <w:rPr>
          <w:rFonts w:ascii="Cambria" w:hAnsi="Cambria"/>
          <w:sz w:val="24"/>
          <w:szCs w:val="24"/>
          <w:lang w:val="en-PH"/>
        </w:rPr>
      </w:pPr>
    </w:p>
    <w:tbl>
      <w:tblPr>
        <w:tblStyle w:val="TableGrid"/>
        <w:tblW w:w="0" w:type="auto"/>
        <w:tblLook w:val="04A0" w:firstRow="1" w:lastRow="0" w:firstColumn="1" w:lastColumn="0" w:noHBand="0" w:noVBand="1"/>
      </w:tblPr>
      <w:tblGrid>
        <w:gridCol w:w="5131"/>
        <w:gridCol w:w="5916"/>
        <w:gridCol w:w="5074"/>
      </w:tblGrid>
      <w:tr w:rsidR="00DB35E9" w:rsidTr="0007248F">
        <w:tc>
          <w:tcPr>
            <w:tcW w:w="5131" w:type="dxa"/>
          </w:tcPr>
          <w:p w:rsidR="00DB35E9" w:rsidRPr="0007248F" w:rsidRDefault="00DB35E9" w:rsidP="0007248F">
            <w:pPr>
              <w:autoSpaceDE w:val="0"/>
              <w:autoSpaceDN w:val="0"/>
              <w:adjustRightInd w:val="0"/>
              <w:jc w:val="center"/>
              <w:rPr>
                <w:b/>
              </w:rPr>
            </w:pPr>
            <w:r w:rsidRPr="0007248F">
              <w:rPr>
                <w:b/>
              </w:rPr>
              <w:t>Issues, Gaps and Challenges that Hinder Performance</w:t>
            </w:r>
          </w:p>
        </w:tc>
        <w:tc>
          <w:tcPr>
            <w:tcW w:w="5916" w:type="dxa"/>
          </w:tcPr>
          <w:p w:rsidR="00DB35E9" w:rsidRPr="0007248F" w:rsidRDefault="00DB35E9" w:rsidP="0007248F">
            <w:pPr>
              <w:autoSpaceDE w:val="0"/>
              <w:autoSpaceDN w:val="0"/>
              <w:adjustRightInd w:val="0"/>
              <w:jc w:val="center"/>
              <w:rPr>
                <w:b/>
              </w:rPr>
            </w:pPr>
            <w:r w:rsidRPr="0007248F">
              <w:rPr>
                <w:b/>
              </w:rPr>
              <w:t>Policy/Doable Action to Address Issues and Gaps</w:t>
            </w:r>
          </w:p>
        </w:tc>
        <w:tc>
          <w:tcPr>
            <w:tcW w:w="5074" w:type="dxa"/>
          </w:tcPr>
          <w:p w:rsidR="00DB35E9" w:rsidRPr="0007248F" w:rsidRDefault="00DB35E9" w:rsidP="0007248F">
            <w:pPr>
              <w:autoSpaceDE w:val="0"/>
              <w:autoSpaceDN w:val="0"/>
              <w:adjustRightInd w:val="0"/>
              <w:jc w:val="center"/>
              <w:rPr>
                <w:b/>
              </w:rPr>
            </w:pPr>
            <w:r w:rsidRPr="0007248F">
              <w:rPr>
                <w:b/>
              </w:rPr>
              <w:t>Needed Support and Resources to Address Issues and Gaps</w:t>
            </w:r>
          </w:p>
        </w:tc>
      </w:tr>
      <w:tr w:rsidR="000965B5" w:rsidTr="0007248F">
        <w:tc>
          <w:tcPr>
            <w:tcW w:w="5131" w:type="dxa"/>
          </w:tcPr>
          <w:p w:rsidR="004038ED" w:rsidRDefault="000965B5" w:rsidP="00A30F1D">
            <w:pPr>
              <w:pStyle w:val="ListParagraph"/>
              <w:numPr>
                <w:ilvl w:val="0"/>
                <w:numId w:val="2"/>
              </w:numPr>
              <w:autoSpaceDE w:val="0"/>
              <w:autoSpaceDN w:val="0"/>
              <w:adjustRightInd w:val="0"/>
              <w:rPr>
                <w:b/>
              </w:rPr>
            </w:pPr>
            <w:r w:rsidRPr="000965B5">
              <w:rPr>
                <w:b/>
              </w:rPr>
              <w:t>Capture Fisheries</w:t>
            </w:r>
            <w:r w:rsidR="004038ED">
              <w:rPr>
                <w:b/>
              </w:rPr>
              <w:t xml:space="preserve"> </w:t>
            </w:r>
          </w:p>
          <w:p w:rsidR="004038ED" w:rsidRPr="004038ED" w:rsidRDefault="004038ED" w:rsidP="008E3619">
            <w:pPr>
              <w:ind w:left="1276"/>
              <w:jc w:val="both"/>
              <w:rPr>
                <w:u w:val="single"/>
              </w:rPr>
            </w:pPr>
          </w:p>
        </w:tc>
        <w:tc>
          <w:tcPr>
            <w:tcW w:w="5916" w:type="dxa"/>
          </w:tcPr>
          <w:p w:rsidR="000965B5" w:rsidRPr="0007248F" w:rsidRDefault="000965B5" w:rsidP="0007248F">
            <w:pPr>
              <w:autoSpaceDE w:val="0"/>
              <w:autoSpaceDN w:val="0"/>
              <w:adjustRightInd w:val="0"/>
              <w:jc w:val="center"/>
              <w:rPr>
                <w:b/>
              </w:rPr>
            </w:pPr>
          </w:p>
        </w:tc>
        <w:tc>
          <w:tcPr>
            <w:tcW w:w="5074" w:type="dxa"/>
          </w:tcPr>
          <w:p w:rsidR="000965B5" w:rsidRPr="0007248F" w:rsidRDefault="000965B5" w:rsidP="0007248F">
            <w:pPr>
              <w:autoSpaceDE w:val="0"/>
              <w:autoSpaceDN w:val="0"/>
              <w:adjustRightInd w:val="0"/>
              <w:jc w:val="center"/>
              <w:rPr>
                <w:b/>
              </w:rPr>
            </w:pPr>
          </w:p>
        </w:tc>
      </w:tr>
      <w:tr w:rsidR="008E3619" w:rsidTr="001524D8">
        <w:tc>
          <w:tcPr>
            <w:tcW w:w="16121" w:type="dxa"/>
            <w:gridSpan w:val="3"/>
          </w:tcPr>
          <w:p w:rsidR="008E3619" w:rsidRPr="008E3619" w:rsidRDefault="008E3619" w:rsidP="008E3619">
            <w:pPr>
              <w:ind w:left="1276"/>
              <w:jc w:val="center"/>
              <w:rPr>
                <w:u w:val="single"/>
              </w:rPr>
            </w:pPr>
            <w:bookmarkStart w:id="1" w:name="OLE_LINK1"/>
            <w:bookmarkStart w:id="2" w:name="OLE_LINK2"/>
            <w:r w:rsidRPr="008E3619">
              <w:rPr>
                <w:u w:val="single"/>
              </w:rPr>
              <w:t>Commercial Fisheries &amp; Municipal Fisheries</w:t>
            </w:r>
          </w:p>
          <w:bookmarkEnd w:id="1"/>
          <w:bookmarkEnd w:id="2"/>
          <w:p w:rsidR="008E3619" w:rsidRPr="008E3619" w:rsidRDefault="008E3619" w:rsidP="0007248F">
            <w:pPr>
              <w:autoSpaceDE w:val="0"/>
              <w:autoSpaceDN w:val="0"/>
              <w:adjustRightInd w:val="0"/>
              <w:jc w:val="center"/>
              <w:rPr>
                <w:u w:val="single"/>
              </w:rPr>
            </w:pPr>
          </w:p>
        </w:tc>
      </w:tr>
      <w:tr w:rsidR="00DB35E9" w:rsidTr="0007248F">
        <w:tc>
          <w:tcPr>
            <w:tcW w:w="5131" w:type="dxa"/>
          </w:tcPr>
          <w:p w:rsidR="00DB35E9" w:rsidRPr="00356F8C" w:rsidRDefault="00356F8C" w:rsidP="004038ED">
            <w:pPr>
              <w:jc w:val="both"/>
            </w:pPr>
            <w:r w:rsidRPr="00356F8C">
              <w:t>1) Strengthening of governance mechanism based on the deliverables of the Implementing Rules and Regulations (IRR) of Republic Act (RA) 10654 (Amended Fisheries Code):</w:t>
            </w:r>
          </w:p>
        </w:tc>
        <w:tc>
          <w:tcPr>
            <w:tcW w:w="5916" w:type="dxa"/>
          </w:tcPr>
          <w:p w:rsidR="00356F8C" w:rsidRPr="00356F8C" w:rsidRDefault="00356F8C" w:rsidP="00356F8C">
            <w:pPr>
              <w:autoSpaceDE w:val="0"/>
              <w:autoSpaceDN w:val="0"/>
              <w:adjustRightInd w:val="0"/>
              <w:jc w:val="both"/>
            </w:pPr>
            <w:r w:rsidRPr="00356F8C">
              <w:t>Strengthened sup</w:t>
            </w:r>
            <w:r>
              <w:t xml:space="preserve">port to CFA policy </w:t>
            </w:r>
            <w:r w:rsidRPr="00356F8C">
              <w:t>recommendations:</w:t>
            </w:r>
          </w:p>
          <w:p w:rsidR="00DB35E9" w:rsidRPr="00356F8C" w:rsidRDefault="00DB35E9" w:rsidP="00356F8C">
            <w:pPr>
              <w:ind w:left="720"/>
            </w:pPr>
          </w:p>
        </w:tc>
        <w:tc>
          <w:tcPr>
            <w:tcW w:w="5074" w:type="dxa"/>
          </w:tcPr>
          <w:p w:rsidR="00DB35E9" w:rsidRPr="00356F8C" w:rsidRDefault="000F26A3" w:rsidP="00A30F1D">
            <w:pPr>
              <w:numPr>
                <w:ilvl w:val="0"/>
                <w:numId w:val="1"/>
              </w:numPr>
              <w:jc w:val="both"/>
            </w:pPr>
            <w:r w:rsidRPr="000F26A3">
              <w:t xml:space="preserve">Strengthen and institutionalize inter-agency coordination on policy issuances relating to </w:t>
            </w:r>
            <w:proofErr w:type="spellStart"/>
            <w:r w:rsidRPr="000F26A3">
              <w:t>agri</w:t>
            </w:r>
            <w:proofErr w:type="spellEnd"/>
            <w:r w:rsidRPr="000F26A3">
              <w:t xml:space="preserve"> and fisheries through </w:t>
            </w:r>
            <w:r w:rsidR="00AF6131">
              <w:t xml:space="preserve">the </w:t>
            </w:r>
            <w:r w:rsidRPr="000F26A3">
              <w:t>NAF Council.</w:t>
            </w:r>
          </w:p>
        </w:tc>
      </w:tr>
      <w:tr w:rsidR="00DB35E9" w:rsidTr="004038ED">
        <w:tc>
          <w:tcPr>
            <w:tcW w:w="5131" w:type="dxa"/>
            <w:tcBorders>
              <w:bottom w:val="single" w:sz="4" w:space="0" w:color="000000"/>
            </w:tcBorders>
          </w:tcPr>
          <w:p w:rsidR="00DB35E9" w:rsidRPr="00356F8C" w:rsidRDefault="00356F8C" w:rsidP="00A30F1D">
            <w:pPr>
              <w:numPr>
                <w:ilvl w:val="0"/>
                <w:numId w:val="1"/>
              </w:numPr>
            </w:pPr>
            <w:r>
              <w:t xml:space="preserve">Catch documentation and seafood traceability </w:t>
            </w:r>
          </w:p>
        </w:tc>
        <w:tc>
          <w:tcPr>
            <w:tcW w:w="5916" w:type="dxa"/>
            <w:tcBorders>
              <w:bottom w:val="single" w:sz="4" w:space="0" w:color="000000"/>
            </w:tcBorders>
          </w:tcPr>
          <w:p w:rsidR="00356F8C" w:rsidRDefault="00356F8C" w:rsidP="00A30F1D">
            <w:pPr>
              <w:numPr>
                <w:ilvl w:val="1"/>
                <w:numId w:val="1"/>
              </w:numPr>
              <w:autoSpaceDE w:val="0"/>
              <w:autoSpaceDN w:val="0"/>
              <w:adjustRightInd w:val="0"/>
              <w:jc w:val="both"/>
              <w:rPr>
                <w:rFonts w:ascii="Calibri" w:hAnsi="Calibri" w:cs="Calibri"/>
              </w:rPr>
            </w:pPr>
            <w:r>
              <w:rPr>
                <w:rFonts w:cs="Calibri"/>
              </w:rPr>
              <w:t>Development of the implementing guidelines for electronic catch documentation and traceability system for adoption at the Local Government Units (LGUs) to ensure the sustainability of the fishery resources ( for follow-up); and</w:t>
            </w:r>
          </w:p>
          <w:p w:rsidR="00356F8C" w:rsidRDefault="00356F8C" w:rsidP="00A30F1D">
            <w:pPr>
              <w:numPr>
                <w:ilvl w:val="1"/>
                <w:numId w:val="1"/>
              </w:numPr>
              <w:autoSpaceDE w:val="0"/>
              <w:autoSpaceDN w:val="0"/>
              <w:adjustRightInd w:val="0"/>
              <w:jc w:val="both"/>
              <w:rPr>
                <w:rFonts w:cs="Calibri"/>
              </w:rPr>
            </w:pPr>
            <w:r>
              <w:rPr>
                <w:rFonts w:cs="Calibri"/>
              </w:rPr>
              <w:t>DILG’s issuance of a Memorandum Circular requesting the support of the Local LGUs for the institutionalization of catch documentation and seafood traceability through their local ordinances     ( for follow-up);</w:t>
            </w:r>
          </w:p>
          <w:p w:rsidR="00DB35E9" w:rsidRDefault="00DB35E9" w:rsidP="00190C3D">
            <w:pPr>
              <w:jc w:val="both"/>
              <w:rPr>
                <w:rFonts w:ascii="Cambria" w:hAnsi="Cambria"/>
                <w:sz w:val="24"/>
                <w:szCs w:val="24"/>
                <w:lang w:val="en-PH"/>
              </w:rPr>
            </w:pPr>
          </w:p>
        </w:tc>
        <w:tc>
          <w:tcPr>
            <w:tcW w:w="5074" w:type="dxa"/>
            <w:tcBorders>
              <w:bottom w:val="single" w:sz="4" w:space="0" w:color="000000"/>
            </w:tcBorders>
          </w:tcPr>
          <w:p w:rsidR="00CB30D6" w:rsidRDefault="005A350B" w:rsidP="00A30F1D">
            <w:pPr>
              <w:numPr>
                <w:ilvl w:val="0"/>
                <w:numId w:val="1"/>
              </w:numPr>
              <w:jc w:val="both"/>
            </w:pPr>
            <w:r>
              <w:t>Allow d</w:t>
            </w:r>
            <w:r w:rsidR="00DE6AA5" w:rsidRPr="00AB3779">
              <w:t xml:space="preserve">ata sharing and </w:t>
            </w:r>
            <w:r>
              <w:t xml:space="preserve">the conduct of </w:t>
            </w:r>
            <w:r w:rsidR="00DE6AA5" w:rsidRPr="00AB3779">
              <w:t>validation</w:t>
            </w:r>
            <w:r>
              <w:t xml:space="preserve"> on the gathered fisheries data</w:t>
            </w:r>
            <w:r w:rsidR="00DE6AA5" w:rsidRPr="00AB3779">
              <w:t>;</w:t>
            </w:r>
          </w:p>
          <w:p w:rsidR="00CB30D6" w:rsidRDefault="00AF6131" w:rsidP="00A30F1D">
            <w:pPr>
              <w:numPr>
                <w:ilvl w:val="0"/>
                <w:numId w:val="1"/>
              </w:numPr>
              <w:jc w:val="both"/>
            </w:pPr>
            <w:r>
              <w:t>C</w:t>
            </w:r>
            <w:r w:rsidR="005A350B">
              <w:t>onsolidation of</w:t>
            </w:r>
            <w:r w:rsidR="00DE6AA5" w:rsidRPr="003A376F">
              <w:t xml:space="preserve"> </w:t>
            </w:r>
            <w:r w:rsidR="005A350B">
              <w:t xml:space="preserve"> fisheries data,</w:t>
            </w:r>
            <w:r w:rsidR="00DE6AA5" w:rsidRPr="003A376F">
              <w:t xml:space="preserve"> to include NSAP data as reference</w:t>
            </w:r>
            <w:r w:rsidR="00CB30D6">
              <w:t>, for complementation;</w:t>
            </w:r>
          </w:p>
          <w:p w:rsidR="00DE6AA5" w:rsidRPr="003A376F" w:rsidRDefault="00DE6AA5" w:rsidP="00A30F1D">
            <w:pPr>
              <w:numPr>
                <w:ilvl w:val="0"/>
                <w:numId w:val="1"/>
              </w:numPr>
              <w:jc w:val="both"/>
            </w:pPr>
            <w:r>
              <w:t>NSAP data to be publicly available</w:t>
            </w:r>
            <w:r w:rsidR="00CB30D6">
              <w:t>;</w:t>
            </w:r>
          </w:p>
          <w:p w:rsidR="00F358D0" w:rsidRPr="003A376F" w:rsidRDefault="00F358D0" w:rsidP="00A30F1D">
            <w:pPr>
              <w:numPr>
                <w:ilvl w:val="0"/>
                <w:numId w:val="1"/>
              </w:numPr>
              <w:jc w:val="both"/>
            </w:pPr>
            <w:r>
              <w:t>CFA to conduct a special meeting with NSAP and NFRDI on fish stocks (</w:t>
            </w:r>
            <w:r w:rsidR="00CB30D6">
              <w:t xml:space="preserve">presentation of </w:t>
            </w:r>
            <w:r>
              <w:t>NSAP results)</w:t>
            </w:r>
            <w:r w:rsidR="00CB30D6">
              <w:t xml:space="preserve"> </w:t>
            </w:r>
            <w:r w:rsidR="0008297E">
              <w:t xml:space="preserve">; and </w:t>
            </w:r>
          </w:p>
          <w:p w:rsidR="0037727C" w:rsidRPr="0014539A" w:rsidRDefault="00A30F1D" w:rsidP="00A30F1D">
            <w:pPr>
              <w:numPr>
                <w:ilvl w:val="0"/>
                <w:numId w:val="1"/>
              </w:numPr>
              <w:tabs>
                <w:tab w:val="num" w:pos="720"/>
              </w:tabs>
              <w:jc w:val="both"/>
              <w:rPr>
                <w:lang w:val="en-PH"/>
              </w:rPr>
            </w:pPr>
            <w:r w:rsidRPr="0014539A">
              <w:t>BFAR to continue and complete the regional consultations on the draft FAO on catch doc</w:t>
            </w:r>
            <w:r w:rsidR="009A61F1">
              <w:t>umentation.</w:t>
            </w:r>
          </w:p>
          <w:p w:rsidR="003A376F" w:rsidRDefault="003A376F" w:rsidP="00DE6AA5">
            <w:pPr>
              <w:ind w:left="360"/>
              <w:jc w:val="both"/>
              <w:rPr>
                <w:rFonts w:ascii="Cambria" w:hAnsi="Cambria"/>
                <w:sz w:val="24"/>
                <w:szCs w:val="24"/>
                <w:lang w:val="en-PH"/>
              </w:rPr>
            </w:pPr>
          </w:p>
        </w:tc>
      </w:tr>
      <w:tr w:rsidR="00DB35E9" w:rsidTr="004038ED">
        <w:tc>
          <w:tcPr>
            <w:tcW w:w="5131" w:type="dxa"/>
            <w:tcBorders>
              <w:bottom w:val="nil"/>
            </w:tcBorders>
          </w:tcPr>
          <w:p w:rsidR="00DE6AA5" w:rsidRPr="00356F8C" w:rsidRDefault="001500C0" w:rsidP="00A30F1D">
            <w:pPr>
              <w:numPr>
                <w:ilvl w:val="0"/>
                <w:numId w:val="1"/>
              </w:numPr>
            </w:pPr>
            <w:r>
              <w:t xml:space="preserve">Supplementary livelihood </w:t>
            </w:r>
            <w:r w:rsidR="00553B15">
              <w:t>for affected municipal and commercial fishers</w:t>
            </w:r>
          </w:p>
        </w:tc>
        <w:tc>
          <w:tcPr>
            <w:tcW w:w="5916" w:type="dxa"/>
            <w:tcBorders>
              <w:bottom w:val="nil"/>
            </w:tcBorders>
          </w:tcPr>
          <w:p w:rsidR="00DB35E9" w:rsidRDefault="00DB35E9" w:rsidP="001500C0">
            <w:pPr>
              <w:autoSpaceDE w:val="0"/>
              <w:autoSpaceDN w:val="0"/>
              <w:adjustRightInd w:val="0"/>
              <w:ind w:left="360"/>
              <w:jc w:val="both"/>
              <w:rPr>
                <w:rFonts w:ascii="Cambria" w:hAnsi="Cambria"/>
                <w:sz w:val="24"/>
                <w:szCs w:val="24"/>
                <w:lang w:val="en-PH"/>
              </w:rPr>
            </w:pPr>
          </w:p>
        </w:tc>
        <w:tc>
          <w:tcPr>
            <w:tcW w:w="5074" w:type="dxa"/>
            <w:tcBorders>
              <w:bottom w:val="nil"/>
            </w:tcBorders>
          </w:tcPr>
          <w:p w:rsidR="001500C0" w:rsidRDefault="001500C0" w:rsidP="004038ED">
            <w:pPr>
              <w:ind w:left="720"/>
              <w:jc w:val="both"/>
            </w:pPr>
          </w:p>
          <w:p w:rsidR="00DB35E9" w:rsidRDefault="00DB35E9" w:rsidP="00190C3D">
            <w:pPr>
              <w:jc w:val="both"/>
              <w:rPr>
                <w:rFonts w:ascii="Cambria" w:hAnsi="Cambria"/>
                <w:sz w:val="24"/>
                <w:szCs w:val="24"/>
                <w:lang w:val="en-PH"/>
              </w:rPr>
            </w:pPr>
          </w:p>
        </w:tc>
      </w:tr>
      <w:tr w:rsidR="001500C0" w:rsidTr="004038ED">
        <w:tc>
          <w:tcPr>
            <w:tcW w:w="5131" w:type="dxa"/>
            <w:tcBorders>
              <w:top w:val="nil"/>
            </w:tcBorders>
          </w:tcPr>
          <w:p w:rsidR="001500C0" w:rsidRDefault="00EF2CD8" w:rsidP="00EF2CD8">
            <w:pPr>
              <w:ind w:left="720"/>
            </w:pPr>
            <w:r>
              <w:t xml:space="preserve">a) </w:t>
            </w:r>
            <w:r w:rsidR="001500C0">
              <w:t>Closed seasons</w:t>
            </w:r>
          </w:p>
          <w:p w:rsidR="00EF2CD8" w:rsidRDefault="00EF2CD8" w:rsidP="008E3619">
            <w:pPr>
              <w:ind w:left="720"/>
            </w:pPr>
            <w:r>
              <w:t>b) Shifting to other</w:t>
            </w:r>
            <w:r w:rsidR="008E3619">
              <w:t xml:space="preserve"> </w:t>
            </w:r>
            <w:r>
              <w:t xml:space="preserve">fishing </w:t>
            </w:r>
            <w:r w:rsidR="008E3619">
              <w:t>or fishery-related activities</w:t>
            </w:r>
          </w:p>
        </w:tc>
        <w:tc>
          <w:tcPr>
            <w:tcW w:w="5916" w:type="dxa"/>
            <w:tcBorders>
              <w:top w:val="nil"/>
            </w:tcBorders>
          </w:tcPr>
          <w:p w:rsidR="001500C0" w:rsidRDefault="001500C0" w:rsidP="00A30F1D">
            <w:pPr>
              <w:numPr>
                <w:ilvl w:val="0"/>
                <w:numId w:val="1"/>
              </w:numPr>
              <w:autoSpaceDE w:val="0"/>
              <w:autoSpaceDN w:val="0"/>
              <w:adjustRightInd w:val="0"/>
              <w:jc w:val="both"/>
              <w:rPr>
                <w:rFonts w:cs="Calibri"/>
              </w:rPr>
            </w:pPr>
            <w:r>
              <w:rPr>
                <w:rFonts w:cs="Calibri"/>
              </w:rPr>
              <w:t>Issuance of a  joint MC  (</w:t>
            </w:r>
            <w:r w:rsidR="004038ED">
              <w:rPr>
                <w:rFonts w:cs="Calibri"/>
              </w:rPr>
              <w:t xml:space="preserve"> DILG and DA-BFAR)  to further ensure</w:t>
            </w:r>
            <w:r>
              <w:rPr>
                <w:rFonts w:cs="Calibri"/>
              </w:rPr>
              <w:t xml:space="preserve"> that the </w:t>
            </w:r>
            <w:r w:rsidR="004038ED">
              <w:rPr>
                <w:rFonts w:cs="Calibri"/>
              </w:rPr>
              <w:t xml:space="preserve">necessary </w:t>
            </w:r>
            <w:r>
              <w:rPr>
                <w:rFonts w:cs="Calibri"/>
              </w:rPr>
              <w:t>safety nets</w:t>
            </w:r>
            <w:r w:rsidR="004038ED">
              <w:rPr>
                <w:rFonts w:cs="Calibri"/>
              </w:rPr>
              <w:t>/livelihood support intervention</w:t>
            </w:r>
            <w:r>
              <w:rPr>
                <w:rFonts w:cs="Calibri"/>
              </w:rPr>
              <w:t xml:space="preserve"> for the affected fishers/operators are in place </w:t>
            </w:r>
          </w:p>
          <w:p w:rsidR="004038ED" w:rsidRDefault="000F6D7A" w:rsidP="00A30F1D">
            <w:pPr>
              <w:numPr>
                <w:ilvl w:val="0"/>
                <w:numId w:val="1"/>
              </w:numPr>
              <w:autoSpaceDE w:val="0"/>
              <w:autoSpaceDN w:val="0"/>
              <w:adjustRightInd w:val="0"/>
              <w:jc w:val="both"/>
              <w:rPr>
                <w:rFonts w:ascii="Cambria" w:hAnsi="Cambria"/>
                <w:lang w:val="en-PH"/>
              </w:rPr>
            </w:pPr>
            <w:r>
              <w:rPr>
                <w:rFonts w:cs="Calibri"/>
              </w:rPr>
              <w:t>Conduct of a d</w:t>
            </w:r>
            <w:r w:rsidR="00EF2CD8" w:rsidRPr="00EF2CD8">
              <w:rPr>
                <w:rFonts w:cs="Calibri"/>
              </w:rPr>
              <w:t xml:space="preserve">ialogue </w:t>
            </w:r>
            <w:r w:rsidR="00EF2CD8">
              <w:rPr>
                <w:rFonts w:cs="Calibri"/>
              </w:rPr>
              <w:t xml:space="preserve">among and between the concerned government agencies ( DOLE, DSWD, </w:t>
            </w:r>
            <w:r w:rsidR="00EF2CD8">
              <w:rPr>
                <w:rFonts w:cs="Calibri"/>
              </w:rPr>
              <w:lastRenderedPageBreak/>
              <w:t>DTI, TESDA) to be spearheaded by DA-BFAR on the proposed supple</w:t>
            </w:r>
            <w:r w:rsidR="004038ED">
              <w:rPr>
                <w:rFonts w:cs="Calibri"/>
              </w:rPr>
              <w:t>mentary livelihood intervention</w:t>
            </w:r>
          </w:p>
          <w:p w:rsidR="000F6D7A" w:rsidRPr="000F6D7A" w:rsidRDefault="000F6D7A" w:rsidP="000F6D7A">
            <w:pPr>
              <w:autoSpaceDE w:val="0"/>
              <w:autoSpaceDN w:val="0"/>
              <w:adjustRightInd w:val="0"/>
              <w:ind w:left="720"/>
              <w:jc w:val="both"/>
              <w:rPr>
                <w:rFonts w:ascii="Cambria" w:hAnsi="Cambria"/>
                <w:lang w:val="en-PH"/>
              </w:rPr>
            </w:pPr>
          </w:p>
        </w:tc>
        <w:tc>
          <w:tcPr>
            <w:tcW w:w="5074" w:type="dxa"/>
            <w:tcBorders>
              <w:top w:val="nil"/>
            </w:tcBorders>
          </w:tcPr>
          <w:p w:rsidR="001500C0" w:rsidRDefault="001500C0" w:rsidP="00A30F1D">
            <w:pPr>
              <w:numPr>
                <w:ilvl w:val="0"/>
                <w:numId w:val="1"/>
              </w:numPr>
              <w:jc w:val="both"/>
            </w:pPr>
            <w:r>
              <w:lastRenderedPageBreak/>
              <w:t>Identification and implementat</w:t>
            </w:r>
            <w:r w:rsidR="004038ED">
              <w:t>ion of supplementary livelihood program</w:t>
            </w:r>
            <w:r>
              <w:t xml:space="preserve"> for closed seasons should include </w:t>
            </w:r>
            <w:r w:rsidR="004E7BD1">
              <w:t xml:space="preserve">DA-BFAR, </w:t>
            </w:r>
            <w:r>
              <w:t>DOLE, DSWD, DTI and TESDA</w:t>
            </w:r>
          </w:p>
          <w:p w:rsidR="001500C0" w:rsidRDefault="001500C0" w:rsidP="00EF2CD8">
            <w:pPr>
              <w:ind w:left="720"/>
              <w:jc w:val="both"/>
            </w:pPr>
          </w:p>
          <w:p w:rsidR="001500C0" w:rsidRDefault="001500C0" w:rsidP="00BD1D96">
            <w:pPr>
              <w:jc w:val="both"/>
              <w:rPr>
                <w:rFonts w:ascii="Cambria" w:hAnsi="Cambria"/>
                <w:sz w:val="24"/>
                <w:szCs w:val="24"/>
                <w:lang w:val="en-PH"/>
              </w:rPr>
            </w:pPr>
          </w:p>
        </w:tc>
      </w:tr>
      <w:tr w:rsidR="001500C0" w:rsidTr="0007248F">
        <w:tc>
          <w:tcPr>
            <w:tcW w:w="5131" w:type="dxa"/>
          </w:tcPr>
          <w:p w:rsidR="0073224F" w:rsidRDefault="0073224F" w:rsidP="00A30F1D">
            <w:pPr>
              <w:numPr>
                <w:ilvl w:val="0"/>
                <w:numId w:val="1"/>
              </w:numPr>
            </w:pPr>
            <w:r>
              <w:lastRenderedPageBreak/>
              <w:t xml:space="preserve">Fisheries Management Areas </w:t>
            </w:r>
          </w:p>
          <w:p w:rsidR="001500C0" w:rsidRDefault="001500C0" w:rsidP="00A30F1D">
            <w:pPr>
              <w:numPr>
                <w:ilvl w:val="0"/>
                <w:numId w:val="1"/>
              </w:numPr>
            </w:pPr>
            <w:r>
              <w:t>Harvest Control Rule</w:t>
            </w:r>
          </w:p>
          <w:p w:rsidR="0073224F" w:rsidRPr="00356F8C" w:rsidRDefault="0073224F" w:rsidP="00A30F1D">
            <w:pPr>
              <w:numPr>
                <w:ilvl w:val="0"/>
                <w:numId w:val="1"/>
              </w:numPr>
            </w:pPr>
            <w:r>
              <w:t>Vessel Monitoring Measures</w:t>
            </w:r>
          </w:p>
        </w:tc>
        <w:tc>
          <w:tcPr>
            <w:tcW w:w="5916" w:type="dxa"/>
          </w:tcPr>
          <w:p w:rsidR="001500C0" w:rsidRPr="0073224F" w:rsidRDefault="0073224F" w:rsidP="00A30F1D">
            <w:pPr>
              <w:numPr>
                <w:ilvl w:val="0"/>
                <w:numId w:val="1"/>
              </w:numPr>
              <w:autoSpaceDE w:val="0"/>
              <w:autoSpaceDN w:val="0"/>
              <w:adjustRightInd w:val="0"/>
              <w:jc w:val="both"/>
              <w:rPr>
                <w:rFonts w:cs="Calibri"/>
              </w:rPr>
            </w:pPr>
            <w:r>
              <w:rPr>
                <w:rFonts w:cs="Calibri"/>
              </w:rPr>
              <w:t>Presentation on the status and updates</w:t>
            </w:r>
            <w:r w:rsidR="009B5C70">
              <w:rPr>
                <w:rFonts w:cs="Calibri"/>
              </w:rPr>
              <w:t>, to include learning sessions</w:t>
            </w:r>
            <w:r w:rsidR="004038ED">
              <w:rPr>
                <w:rFonts w:cs="Calibri"/>
              </w:rPr>
              <w:t xml:space="preserve"> on FMAs, harvest control rule, and VMS</w:t>
            </w:r>
          </w:p>
        </w:tc>
        <w:tc>
          <w:tcPr>
            <w:tcW w:w="5074" w:type="dxa"/>
          </w:tcPr>
          <w:p w:rsidR="001500C0" w:rsidRPr="0073224F" w:rsidRDefault="0073224F" w:rsidP="00A30F1D">
            <w:pPr>
              <w:numPr>
                <w:ilvl w:val="0"/>
                <w:numId w:val="1"/>
              </w:numPr>
              <w:autoSpaceDE w:val="0"/>
              <w:autoSpaceDN w:val="0"/>
              <w:adjustRightInd w:val="0"/>
              <w:jc w:val="both"/>
              <w:rPr>
                <w:rFonts w:cs="Calibri"/>
              </w:rPr>
            </w:pPr>
            <w:r w:rsidRPr="0073224F">
              <w:rPr>
                <w:rFonts w:cs="Calibri"/>
              </w:rPr>
              <w:t>To be included in the</w:t>
            </w:r>
            <w:r w:rsidR="004038ED">
              <w:rPr>
                <w:rFonts w:cs="Calibri"/>
              </w:rPr>
              <w:t xml:space="preserve"> next</w:t>
            </w:r>
            <w:r w:rsidRPr="0073224F">
              <w:rPr>
                <w:rFonts w:cs="Calibri"/>
              </w:rPr>
              <w:t xml:space="preserve"> meeting agenda</w:t>
            </w:r>
          </w:p>
        </w:tc>
      </w:tr>
      <w:tr w:rsidR="001500C0" w:rsidTr="0007248F">
        <w:tc>
          <w:tcPr>
            <w:tcW w:w="5131" w:type="dxa"/>
          </w:tcPr>
          <w:p w:rsidR="001500C0" w:rsidRDefault="001500C0" w:rsidP="00A30F1D">
            <w:pPr>
              <w:numPr>
                <w:ilvl w:val="0"/>
                <w:numId w:val="1"/>
              </w:numPr>
              <w:rPr>
                <w:rFonts w:ascii="Cambria" w:hAnsi="Cambria"/>
                <w:sz w:val="24"/>
                <w:szCs w:val="24"/>
                <w:lang w:val="en-PH"/>
              </w:rPr>
            </w:pPr>
            <w:r w:rsidRPr="00356F8C">
              <w:t>Philippine Merchant Marine Rules and Regulations (PMMRR) for the Fisheries Sector</w:t>
            </w:r>
          </w:p>
        </w:tc>
        <w:tc>
          <w:tcPr>
            <w:tcW w:w="5916" w:type="dxa"/>
          </w:tcPr>
          <w:p w:rsidR="001500C0" w:rsidRDefault="001500C0" w:rsidP="00A30F1D">
            <w:pPr>
              <w:numPr>
                <w:ilvl w:val="0"/>
                <w:numId w:val="1"/>
              </w:numPr>
              <w:autoSpaceDE w:val="0"/>
              <w:autoSpaceDN w:val="0"/>
              <w:adjustRightInd w:val="0"/>
              <w:jc w:val="both"/>
              <w:rPr>
                <w:rFonts w:ascii="Cambria" w:hAnsi="Cambria"/>
                <w:sz w:val="24"/>
                <w:szCs w:val="24"/>
                <w:lang w:val="en-PH"/>
              </w:rPr>
            </w:pPr>
            <w:r w:rsidRPr="00356F8C">
              <w:rPr>
                <w:rFonts w:cs="Calibri"/>
              </w:rPr>
              <w:t>Issuance of the Philippine Merchant Marine Rules and Regulations (PMMRR) for the Fisheries Sector by DOTC-MARINA</w:t>
            </w:r>
          </w:p>
        </w:tc>
        <w:tc>
          <w:tcPr>
            <w:tcW w:w="5074" w:type="dxa"/>
          </w:tcPr>
          <w:p w:rsidR="0037727C" w:rsidRPr="00ED2A91" w:rsidRDefault="004038ED" w:rsidP="00A30F1D">
            <w:pPr>
              <w:numPr>
                <w:ilvl w:val="0"/>
                <w:numId w:val="1"/>
              </w:numPr>
              <w:autoSpaceDE w:val="0"/>
              <w:autoSpaceDN w:val="0"/>
              <w:adjustRightInd w:val="0"/>
              <w:jc w:val="both"/>
              <w:rPr>
                <w:rFonts w:cs="Calibri"/>
                <w:i/>
                <w:lang w:val="en-PH"/>
              </w:rPr>
            </w:pPr>
            <w:r>
              <w:rPr>
                <w:rFonts w:cs="Calibri"/>
                <w:i/>
              </w:rPr>
              <w:t xml:space="preserve">Pending: </w:t>
            </w:r>
            <w:r w:rsidR="00A332A6" w:rsidRPr="004038ED">
              <w:rPr>
                <w:rFonts w:cs="Calibri"/>
                <w:i/>
              </w:rPr>
              <w:t>MARINA</w:t>
            </w:r>
            <w:r w:rsidR="00890CF1" w:rsidRPr="004038ED">
              <w:rPr>
                <w:rFonts w:cs="Calibri"/>
                <w:i/>
              </w:rPr>
              <w:t xml:space="preserve"> has</w:t>
            </w:r>
            <w:r w:rsidR="00F43F56" w:rsidRPr="004038ED">
              <w:rPr>
                <w:rFonts w:cs="Calibri"/>
                <w:i/>
              </w:rPr>
              <w:t xml:space="preserve"> ongoing activities</w:t>
            </w:r>
            <w:r w:rsidR="00890CF1" w:rsidRPr="004038ED">
              <w:rPr>
                <w:rFonts w:cs="Calibri"/>
                <w:i/>
              </w:rPr>
              <w:t xml:space="preserve"> on this</w:t>
            </w:r>
            <w:r w:rsidR="00ED2A91">
              <w:rPr>
                <w:rFonts w:cs="Calibri"/>
                <w:i/>
              </w:rPr>
              <w:t xml:space="preserve">; </w:t>
            </w:r>
            <w:r w:rsidR="00A30F1D" w:rsidRPr="00ED2A91">
              <w:rPr>
                <w:rFonts w:cs="Calibri"/>
                <w:iCs/>
              </w:rPr>
              <w:t>CFA to continuously monitor the progress  on the said rules and regulations</w:t>
            </w:r>
            <w:r w:rsidR="00A30F1D" w:rsidRPr="00ED2A91">
              <w:rPr>
                <w:rFonts w:cs="Calibri"/>
                <w:i/>
                <w:iCs/>
              </w:rPr>
              <w:t xml:space="preserve"> </w:t>
            </w:r>
          </w:p>
          <w:p w:rsidR="00F43F56" w:rsidRPr="004038ED" w:rsidRDefault="00F43F56" w:rsidP="00A30F1D">
            <w:pPr>
              <w:numPr>
                <w:ilvl w:val="0"/>
                <w:numId w:val="1"/>
              </w:numPr>
              <w:autoSpaceDE w:val="0"/>
              <w:autoSpaceDN w:val="0"/>
              <w:adjustRightInd w:val="0"/>
              <w:jc w:val="both"/>
              <w:rPr>
                <w:rFonts w:ascii="Cambria" w:hAnsi="Cambria"/>
                <w:i/>
                <w:sz w:val="24"/>
                <w:szCs w:val="24"/>
                <w:lang w:val="en-PH"/>
              </w:rPr>
            </w:pPr>
          </w:p>
        </w:tc>
      </w:tr>
      <w:tr w:rsidR="001500C0" w:rsidTr="0007248F">
        <w:tc>
          <w:tcPr>
            <w:tcW w:w="5131" w:type="dxa"/>
          </w:tcPr>
          <w:p w:rsidR="00817A9D" w:rsidRPr="00817A9D" w:rsidRDefault="001500C0" w:rsidP="00A30F1D">
            <w:pPr>
              <w:numPr>
                <w:ilvl w:val="0"/>
                <w:numId w:val="1"/>
              </w:numPr>
              <w:jc w:val="both"/>
              <w:rPr>
                <w:rFonts w:ascii="Cambria" w:hAnsi="Cambria"/>
                <w:sz w:val="24"/>
                <w:szCs w:val="24"/>
                <w:lang w:val="en-PH"/>
              </w:rPr>
            </w:pPr>
            <w:bookmarkStart w:id="3" w:name="OLE_LINK3"/>
            <w:bookmarkStart w:id="4" w:name="OLE_LINK4"/>
            <w:r w:rsidRPr="00445A01">
              <w:t>Continuous update on various  international instruments/agreements/ convention</w:t>
            </w:r>
            <w:r>
              <w:t xml:space="preserve">             </w:t>
            </w:r>
          </w:p>
          <w:bookmarkEnd w:id="3"/>
          <w:bookmarkEnd w:id="4"/>
          <w:p w:rsidR="00817A9D" w:rsidRDefault="00817A9D" w:rsidP="00817A9D">
            <w:pPr>
              <w:ind w:left="720"/>
              <w:jc w:val="both"/>
              <w:rPr>
                <w:rFonts w:cs="Calibri"/>
              </w:rPr>
            </w:pPr>
          </w:p>
          <w:p w:rsidR="001500C0" w:rsidRPr="00B52532" w:rsidRDefault="00817A9D" w:rsidP="00817A9D">
            <w:pPr>
              <w:ind w:left="360"/>
              <w:jc w:val="both"/>
              <w:rPr>
                <w:rFonts w:ascii="Cambria" w:hAnsi="Cambria"/>
                <w:i/>
                <w:sz w:val="24"/>
                <w:szCs w:val="24"/>
                <w:lang w:val="en-PH"/>
              </w:rPr>
            </w:pPr>
            <w:r w:rsidRPr="00B52532">
              <w:rPr>
                <w:rFonts w:cs="Calibri"/>
                <w:i/>
              </w:rPr>
              <w:t>*Preparation of PH positions on UN  International Agreements</w:t>
            </w:r>
            <w:r w:rsidR="001500C0" w:rsidRPr="00B52532">
              <w:rPr>
                <w:i/>
              </w:rPr>
              <w:t xml:space="preserve">        </w:t>
            </w:r>
          </w:p>
        </w:tc>
        <w:tc>
          <w:tcPr>
            <w:tcW w:w="5916" w:type="dxa"/>
          </w:tcPr>
          <w:p w:rsidR="001500C0" w:rsidRDefault="00817A9D" w:rsidP="00A30F1D">
            <w:pPr>
              <w:numPr>
                <w:ilvl w:val="0"/>
                <w:numId w:val="1"/>
              </w:numPr>
              <w:autoSpaceDE w:val="0"/>
              <w:autoSpaceDN w:val="0"/>
              <w:adjustRightInd w:val="0"/>
              <w:jc w:val="both"/>
              <w:rPr>
                <w:rFonts w:ascii="Cambria" w:hAnsi="Cambria"/>
                <w:sz w:val="24"/>
                <w:szCs w:val="24"/>
                <w:lang w:val="en-PH"/>
              </w:rPr>
            </w:pPr>
            <w:r>
              <w:rPr>
                <w:rFonts w:cs="Calibri"/>
              </w:rPr>
              <w:t xml:space="preserve">Creation of a Working Group </w:t>
            </w:r>
            <w:r w:rsidR="00AF6131">
              <w:rPr>
                <w:rFonts w:cs="Calibri"/>
              </w:rPr>
              <w:t>to</w:t>
            </w:r>
            <w:r>
              <w:rPr>
                <w:rFonts w:cs="Calibri"/>
              </w:rPr>
              <w:t xml:space="preserve"> develop the CFA position on international agreements/instruments relating to fisheries</w:t>
            </w:r>
          </w:p>
        </w:tc>
        <w:tc>
          <w:tcPr>
            <w:tcW w:w="5074" w:type="dxa"/>
          </w:tcPr>
          <w:p w:rsidR="00A332A6" w:rsidRPr="00A332A6" w:rsidRDefault="004038ED" w:rsidP="00A30F1D">
            <w:pPr>
              <w:numPr>
                <w:ilvl w:val="0"/>
                <w:numId w:val="1"/>
              </w:numPr>
              <w:autoSpaceDE w:val="0"/>
              <w:autoSpaceDN w:val="0"/>
              <w:adjustRightInd w:val="0"/>
              <w:jc w:val="both"/>
              <w:rPr>
                <w:rFonts w:ascii="Cambria" w:hAnsi="Cambria"/>
                <w:sz w:val="24"/>
                <w:szCs w:val="24"/>
                <w:lang w:val="en-PH"/>
              </w:rPr>
            </w:pPr>
            <w:r>
              <w:t>R</w:t>
            </w:r>
            <w:r w:rsidRPr="00445A01">
              <w:t>eporting back</w:t>
            </w:r>
            <w:r>
              <w:t xml:space="preserve"> of fishery-related </w:t>
            </w:r>
            <w:proofErr w:type="spellStart"/>
            <w:r>
              <w:t>instruments;</w:t>
            </w:r>
            <w:r>
              <w:rPr>
                <w:rFonts w:cs="Calibri"/>
              </w:rPr>
              <w:t>to</w:t>
            </w:r>
            <w:proofErr w:type="spellEnd"/>
            <w:r>
              <w:rPr>
                <w:rFonts w:cs="Calibri"/>
              </w:rPr>
              <w:t xml:space="preserve"> </w:t>
            </w:r>
            <w:r w:rsidR="00A332A6">
              <w:rPr>
                <w:rFonts w:cs="Calibri"/>
              </w:rPr>
              <w:t>be included in the CFA meeting agenda</w:t>
            </w:r>
          </w:p>
          <w:p w:rsidR="00A332A6" w:rsidRDefault="00A332A6" w:rsidP="00817A9D">
            <w:pPr>
              <w:autoSpaceDE w:val="0"/>
              <w:autoSpaceDN w:val="0"/>
              <w:adjustRightInd w:val="0"/>
              <w:ind w:left="720"/>
              <w:jc w:val="both"/>
              <w:rPr>
                <w:rFonts w:ascii="Cambria" w:hAnsi="Cambria"/>
                <w:sz w:val="24"/>
                <w:szCs w:val="24"/>
                <w:lang w:val="en-PH"/>
              </w:rPr>
            </w:pPr>
          </w:p>
        </w:tc>
      </w:tr>
      <w:tr w:rsidR="001500C0" w:rsidTr="00D463E4">
        <w:tc>
          <w:tcPr>
            <w:tcW w:w="16121" w:type="dxa"/>
            <w:gridSpan w:val="3"/>
          </w:tcPr>
          <w:p w:rsidR="001500C0" w:rsidRPr="0007248F" w:rsidRDefault="001500C0" w:rsidP="0007248F">
            <w:pPr>
              <w:jc w:val="center"/>
              <w:rPr>
                <w:rFonts w:ascii="Cambria" w:hAnsi="Cambria"/>
                <w:b/>
                <w:sz w:val="24"/>
                <w:szCs w:val="24"/>
                <w:lang w:val="en-PH"/>
              </w:rPr>
            </w:pPr>
          </w:p>
          <w:p w:rsidR="001500C0" w:rsidRPr="0007248F" w:rsidRDefault="001500C0" w:rsidP="0007248F">
            <w:pPr>
              <w:jc w:val="center"/>
              <w:rPr>
                <w:rFonts w:ascii="Cambria" w:hAnsi="Cambria"/>
                <w:b/>
                <w:sz w:val="24"/>
                <w:szCs w:val="24"/>
                <w:lang w:val="en-PH"/>
              </w:rPr>
            </w:pPr>
            <w:r w:rsidRPr="0007248F">
              <w:rPr>
                <w:b/>
                <w:sz w:val="24"/>
                <w:szCs w:val="24"/>
              </w:rPr>
              <w:t>Municipal Fisheries</w:t>
            </w:r>
          </w:p>
        </w:tc>
      </w:tr>
      <w:tr w:rsidR="001500C0" w:rsidTr="0007248F">
        <w:trPr>
          <w:trHeight w:val="758"/>
        </w:trPr>
        <w:tc>
          <w:tcPr>
            <w:tcW w:w="5131" w:type="dxa"/>
          </w:tcPr>
          <w:p w:rsidR="001500C0" w:rsidRPr="00817A9D" w:rsidRDefault="001500C0" w:rsidP="00A30F1D">
            <w:pPr>
              <w:numPr>
                <w:ilvl w:val="0"/>
                <w:numId w:val="1"/>
              </w:numPr>
              <w:rPr>
                <w:rFonts w:ascii="Cambria" w:hAnsi="Cambria"/>
                <w:sz w:val="24"/>
                <w:szCs w:val="24"/>
                <w:lang w:val="en-PH"/>
              </w:rPr>
            </w:pPr>
            <w:r w:rsidRPr="00445A01">
              <w:t xml:space="preserve">Establishment of </w:t>
            </w:r>
            <w:proofErr w:type="spellStart"/>
            <w:r w:rsidRPr="00445A01">
              <w:t>Fisherfolk</w:t>
            </w:r>
            <w:proofErr w:type="spellEnd"/>
            <w:r w:rsidRPr="00445A01">
              <w:t xml:space="preserve"> Settlement Areas</w:t>
            </w:r>
            <w:r w:rsidR="008E3619">
              <w:t xml:space="preserve"> ( </w:t>
            </w:r>
            <w:r w:rsidR="008E3619" w:rsidRPr="008E3619">
              <w:rPr>
                <w:i/>
              </w:rPr>
              <w:t>Municipal Fisheries</w:t>
            </w:r>
            <w:r w:rsidR="008E3619">
              <w:t>)</w:t>
            </w:r>
          </w:p>
          <w:p w:rsidR="00817A9D" w:rsidRPr="00817A9D" w:rsidRDefault="00817A9D" w:rsidP="00A30F1D">
            <w:pPr>
              <w:pStyle w:val="ListParagraph"/>
              <w:numPr>
                <w:ilvl w:val="0"/>
                <w:numId w:val="3"/>
              </w:numPr>
              <w:autoSpaceDE w:val="0"/>
              <w:autoSpaceDN w:val="0"/>
              <w:adjustRightInd w:val="0"/>
              <w:jc w:val="both"/>
              <w:rPr>
                <w:rFonts w:ascii="Cambria" w:hAnsi="Cambria"/>
                <w:i/>
                <w:lang w:val="en-PH"/>
              </w:rPr>
            </w:pPr>
            <w:r w:rsidRPr="00817A9D">
              <w:rPr>
                <w:rFonts w:cs="Calibri"/>
                <w:i/>
              </w:rPr>
              <w:t xml:space="preserve">The establishment of </w:t>
            </w:r>
            <w:proofErr w:type="spellStart"/>
            <w:r w:rsidRPr="00817A9D">
              <w:rPr>
                <w:rFonts w:cs="Calibri"/>
                <w:i/>
              </w:rPr>
              <w:t>fisherfolk</w:t>
            </w:r>
            <w:proofErr w:type="spellEnd"/>
            <w:r w:rsidRPr="00817A9D">
              <w:rPr>
                <w:rFonts w:cs="Calibri"/>
                <w:i/>
              </w:rPr>
              <w:t xml:space="preserve"> settlement areas will involve various agencies such as BFAR,</w:t>
            </w:r>
            <w:r w:rsidRPr="00817A9D">
              <w:rPr>
                <w:rFonts w:ascii="Cambria" w:hAnsi="Cambria"/>
                <w:i/>
                <w:lang w:val="en-PH"/>
              </w:rPr>
              <w:t xml:space="preserve"> </w:t>
            </w:r>
            <w:r w:rsidRPr="00817A9D">
              <w:rPr>
                <w:rFonts w:cs="Calibri"/>
                <w:i/>
              </w:rPr>
              <w:t xml:space="preserve">Social Housing Finance Corporation, DA, NAPC, HLURB, HUDCC, DENR- Bureau of Land, DAR, DBM, including DSWD and NAPC for social preparation </w:t>
            </w:r>
          </w:p>
          <w:p w:rsidR="00817A9D" w:rsidRDefault="00817A9D" w:rsidP="00817A9D">
            <w:pPr>
              <w:ind w:left="720"/>
              <w:rPr>
                <w:rFonts w:ascii="Cambria" w:hAnsi="Cambria"/>
                <w:sz w:val="24"/>
                <w:szCs w:val="24"/>
                <w:lang w:val="en-PH"/>
              </w:rPr>
            </w:pPr>
          </w:p>
        </w:tc>
        <w:tc>
          <w:tcPr>
            <w:tcW w:w="5916" w:type="dxa"/>
          </w:tcPr>
          <w:tbl>
            <w:tblPr>
              <w:tblW w:w="5700" w:type="dxa"/>
              <w:tblLook w:val="04A0" w:firstRow="1" w:lastRow="0" w:firstColumn="1" w:lastColumn="0" w:noHBand="0" w:noVBand="1"/>
            </w:tblPr>
            <w:tblGrid>
              <w:gridCol w:w="5700"/>
            </w:tblGrid>
            <w:tr w:rsidR="001500C0" w:rsidRPr="00445A01" w:rsidTr="003D797E">
              <w:trPr>
                <w:trHeight w:val="187"/>
              </w:trPr>
              <w:tc>
                <w:tcPr>
                  <w:tcW w:w="5700" w:type="dxa"/>
                  <w:tcBorders>
                    <w:top w:val="nil"/>
                    <w:left w:val="nil"/>
                    <w:bottom w:val="nil"/>
                    <w:right w:val="nil"/>
                  </w:tcBorders>
                  <w:shd w:val="clear" w:color="auto" w:fill="auto"/>
                  <w:vAlign w:val="bottom"/>
                  <w:hideMark/>
                </w:tcPr>
                <w:p w:rsidR="001500C0" w:rsidRPr="00445A01" w:rsidRDefault="001500C0" w:rsidP="00A30F1D">
                  <w:pPr>
                    <w:numPr>
                      <w:ilvl w:val="0"/>
                      <w:numId w:val="1"/>
                    </w:numPr>
                    <w:autoSpaceDE w:val="0"/>
                    <w:autoSpaceDN w:val="0"/>
                    <w:adjustRightInd w:val="0"/>
                    <w:jc w:val="both"/>
                    <w:rPr>
                      <w:rFonts w:ascii="Cambria" w:hAnsi="Cambria" w:cs="Calibri"/>
                      <w:color w:val="000000"/>
                      <w:lang w:val="en-PH" w:eastAsia="en-PH"/>
                    </w:rPr>
                  </w:pPr>
                  <w:r w:rsidRPr="00445A01">
                    <w:rPr>
                      <w:rFonts w:cs="Calibri"/>
                    </w:rPr>
                    <w:t>Issuance of the Guidelines for the establishment of FFS areas</w:t>
                  </w:r>
                </w:p>
              </w:tc>
            </w:tr>
            <w:tr w:rsidR="001500C0" w:rsidRPr="00445A01" w:rsidTr="0007248F">
              <w:trPr>
                <w:trHeight w:val="323"/>
              </w:trPr>
              <w:tc>
                <w:tcPr>
                  <w:tcW w:w="5700" w:type="dxa"/>
                  <w:tcBorders>
                    <w:top w:val="nil"/>
                    <w:left w:val="nil"/>
                    <w:bottom w:val="nil"/>
                    <w:right w:val="nil"/>
                  </w:tcBorders>
                  <w:shd w:val="clear" w:color="auto" w:fill="auto"/>
                  <w:vAlign w:val="bottom"/>
                  <w:hideMark/>
                </w:tcPr>
                <w:p w:rsidR="001500C0" w:rsidRPr="00445A01" w:rsidRDefault="001500C0" w:rsidP="0007248F">
                  <w:pPr>
                    <w:autoSpaceDE w:val="0"/>
                    <w:autoSpaceDN w:val="0"/>
                    <w:adjustRightInd w:val="0"/>
                    <w:jc w:val="both"/>
                    <w:rPr>
                      <w:rFonts w:ascii="Cambria" w:hAnsi="Cambria" w:cs="Calibri"/>
                      <w:color w:val="000000"/>
                      <w:lang w:val="en-PH" w:eastAsia="en-PH"/>
                    </w:rPr>
                  </w:pPr>
                </w:p>
              </w:tc>
            </w:tr>
          </w:tbl>
          <w:p w:rsidR="001500C0" w:rsidRDefault="001500C0" w:rsidP="00445A01">
            <w:pPr>
              <w:jc w:val="both"/>
              <w:rPr>
                <w:rFonts w:ascii="Cambria" w:hAnsi="Cambria"/>
                <w:sz w:val="24"/>
                <w:szCs w:val="24"/>
                <w:lang w:val="en-PH"/>
              </w:rPr>
            </w:pPr>
          </w:p>
        </w:tc>
        <w:tc>
          <w:tcPr>
            <w:tcW w:w="5074" w:type="dxa"/>
          </w:tcPr>
          <w:p w:rsidR="0037727C" w:rsidRPr="0066003D" w:rsidRDefault="00A30F1D" w:rsidP="00A30F1D">
            <w:pPr>
              <w:numPr>
                <w:ilvl w:val="0"/>
                <w:numId w:val="1"/>
              </w:numPr>
              <w:tabs>
                <w:tab w:val="num" w:pos="720"/>
              </w:tabs>
              <w:autoSpaceDE w:val="0"/>
              <w:autoSpaceDN w:val="0"/>
              <w:adjustRightInd w:val="0"/>
              <w:jc w:val="both"/>
              <w:rPr>
                <w:rFonts w:cs="Calibri"/>
                <w:lang w:val="en-PH"/>
              </w:rPr>
            </w:pPr>
            <w:r w:rsidRPr="0066003D">
              <w:rPr>
                <w:rFonts w:cs="Calibri"/>
              </w:rPr>
              <w:t>BFAR-TWG and NAPC to report the status of the proposed establishment of FFS areas, to include their current initiatives</w:t>
            </w:r>
          </w:p>
          <w:p w:rsidR="002D0077" w:rsidRDefault="002D0077" w:rsidP="0066003D">
            <w:pPr>
              <w:autoSpaceDE w:val="0"/>
              <w:autoSpaceDN w:val="0"/>
              <w:adjustRightInd w:val="0"/>
              <w:ind w:left="720"/>
              <w:jc w:val="both"/>
              <w:rPr>
                <w:rFonts w:ascii="Cambria" w:hAnsi="Cambria"/>
                <w:sz w:val="24"/>
                <w:szCs w:val="24"/>
                <w:lang w:val="en-PH"/>
              </w:rPr>
            </w:pPr>
          </w:p>
        </w:tc>
      </w:tr>
      <w:tr w:rsidR="001500C0" w:rsidTr="0007248F">
        <w:tc>
          <w:tcPr>
            <w:tcW w:w="5131" w:type="dxa"/>
          </w:tcPr>
          <w:p w:rsidR="001500C0" w:rsidRPr="00445A01" w:rsidRDefault="001500C0" w:rsidP="0007248F"/>
        </w:tc>
        <w:tc>
          <w:tcPr>
            <w:tcW w:w="5916" w:type="dxa"/>
          </w:tcPr>
          <w:p w:rsidR="001500C0" w:rsidRPr="00445A01" w:rsidRDefault="001500C0" w:rsidP="00A30F1D">
            <w:pPr>
              <w:numPr>
                <w:ilvl w:val="0"/>
                <w:numId w:val="1"/>
              </w:numPr>
              <w:autoSpaceDE w:val="0"/>
              <w:autoSpaceDN w:val="0"/>
              <w:adjustRightInd w:val="0"/>
              <w:jc w:val="both"/>
              <w:rPr>
                <w:rFonts w:cs="Calibri"/>
              </w:rPr>
            </w:pPr>
            <w:r w:rsidRPr="00445A01">
              <w:rPr>
                <w:rFonts w:cs="Calibri"/>
              </w:rPr>
              <w:t>Annual budget allocation for the establishment of FFS areas in NAPC's identified and validated areas</w:t>
            </w:r>
          </w:p>
        </w:tc>
        <w:tc>
          <w:tcPr>
            <w:tcW w:w="5074" w:type="dxa"/>
          </w:tcPr>
          <w:p w:rsidR="001500C0" w:rsidRDefault="001500C0" w:rsidP="00445A01">
            <w:pPr>
              <w:jc w:val="both"/>
              <w:rPr>
                <w:rFonts w:ascii="Cambria" w:hAnsi="Cambria"/>
                <w:sz w:val="24"/>
                <w:szCs w:val="24"/>
                <w:lang w:val="en-PH"/>
              </w:rPr>
            </w:pPr>
          </w:p>
          <w:p w:rsidR="001500C0" w:rsidRDefault="001500C0" w:rsidP="00445A01">
            <w:pPr>
              <w:jc w:val="both"/>
              <w:rPr>
                <w:rFonts w:ascii="Cambria" w:hAnsi="Cambria"/>
                <w:sz w:val="24"/>
                <w:szCs w:val="24"/>
                <w:lang w:val="en-PH"/>
              </w:rPr>
            </w:pPr>
          </w:p>
        </w:tc>
      </w:tr>
      <w:tr w:rsidR="00D41A74" w:rsidTr="0007248F">
        <w:tc>
          <w:tcPr>
            <w:tcW w:w="5131" w:type="dxa"/>
          </w:tcPr>
          <w:p w:rsidR="00D41A74" w:rsidRDefault="004A08DA" w:rsidP="0007248F">
            <w:r>
              <w:t>Community Fish Landing Centers</w:t>
            </w:r>
          </w:p>
          <w:p w:rsidR="000F6D7A" w:rsidRPr="00DE44B9" w:rsidRDefault="000F6D7A" w:rsidP="00A30F1D">
            <w:pPr>
              <w:numPr>
                <w:ilvl w:val="0"/>
                <w:numId w:val="1"/>
              </w:numPr>
              <w:jc w:val="both"/>
            </w:pPr>
            <w:r w:rsidRPr="00DE44B9">
              <w:t xml:space="preserve">Social preparations for the operation and maintenance of BFAR Community Fish </w:t>
            </w:r>
            <w:r w:rsidRPr="00DE44B9">
              <w:lastRenderedPageBreak/>
              <w:t>Landing Centers (CFLC)</w:t>
            </w:r>
          </w:p>
          <w:p w:rsidR="000F6D7A" w:rsidRPr="00445A01" w:rsidRDefault="000F6D7A" w:rsidP="0007248F"/>
        </w:tc>
        <w:tc>
          <w:tcPr>
            <w:tcW w:w="5916" w:type="dxa"/>
          </w:tcPr>
          <w:p w:rsidR="00D41A74" w:rsidRDefault="00F9261F" w:rsidP="00A30F1D">
            <w:pPr>
              <w:numPr>
                <w:ilvl w:val="0"/>
                <w:numId w:val="1"/>
              </w:numPr>
              <w:autoSpaceDE w:val="0"/>
              <w:autoSpaceDN w:val="0"/>
              <w:adjustRightInd w:val="0"/>
              <w:jc w:val="both"/>
              <w:rPr>
                <w:rFonts w:cs="Calibri"/>
              </w:rPr>
            </w:pPr>
            <w:r>
              <w:rPr>
                <w:rFonts w:cs="Calibri"/>
              </w:rPr>
              <w:lastRenderedPageBreak/>
              <w:t>Assessment Report on CFLCs</w:t>
            </w:r>
          </w:p>
        </w:tc>
        <w:tc>
          <w:tcPr>
            <w:tcW w:w="5074" w:type="dxa"/>
          </w:tcPr>
          <w:p w:rsidR="004038ED" w:rsidRPr="007A3B64" w:rsidRDefault="001F30EF" w:rsidP="00A30F1D">
            <w:pPr>
              <w:numPr>
                <w:ilvl w:val="0"/>
                <w:numId w:val="1"/>
              </w:numPr>
              <w:autoSpaceDE w:val="0"/>
              <w:autoSpaceDN w:val="0"/>
              <w:adjustRightInd w:val="0"/>
              <w:jc w:val="both"/>
              <w:rPr>
                <w:rFonts w:cs="Calibri"/>
                <w:i/>
              </w:rPr>
            </w:pPr>
            <w:r w:rsidRPr="007A3B64">
              <w:rPr>
                <w:rFonts w:cs="Calibri"/>
              </w:rPr>
              <w:t>BFAR</w:t>
            </w:r>
            <w:r w:rsidR="004A08DA" w:rsidRPr="007A3B64">
              <w:rPr>
                <w:rFonts w:cs="Calibri"/>
              </w:rPr>
              <w:t xml:space="preserve"> </w:t>
            </w:r>
            <w:r w:rsidR="00AF6131">
              <w:rPr>
                <w:rFonts w:cs="Calibri"/>
              </w:rPr>
              <w:t xml:space="preserve">to provide an </w:t>
            </w:r>
            <w:r w:rsidR="000A7ACD" w:rsidRPr="007A3B64">
              <w:rPr>
                <w:rFonts w:cs="Calibri"/>
              </w:rPr>
              <w:t xml:space="preserve">assessment report </w:t>
            </w:r>
            <w:r w:rsidR="007A3B64" w:rsidRPr="007A3B64">
              <w:rPr>
                <w:rFonts w:cs="Calibri"/>
              </w:rPr>
              <w:t>on the implementation of CFLCs</w:t>
            </w:r>
            <w:r w:rsidR="007A3B64">
              <w:rPr>
                <w:rFonts w:cs="Calibri"/>
              </w:rPr>
              <w:t xml:space="preserve"> </w:t>
            </w:r>
            <w:r w:rsidR="007A3B64" w:rsidRPr="007A3B64">
              <w:rPr>
                <w:rFonts w:cs="Calibri"/>
                <w:i/>
              </w:rPr>
              <w:t>(to be presented on the 3</w:t>
            </w:r>
            <w:r w:rsidR="007A3B64" w:rsidRPr="007A3B64">
              <w:rPr>
                <w:rFonts w:cs="Calibri"/>
                <w:i/>
                <w:vertAlign w:val="superscript"/>
              </w:rPr>
              <w:t>rd</w:t>
            </w:r>
            <w:r w:rsidR="007A3B64" w:rsidRPr="007A3B64">
              <w:rPr>
                <w:rFonts w:cs="Calibri"/>
                <w:i/>
              </w:rPr>
              <w:t xml:space="preserve"> quarter of the CFA </w:t>
            </w:r>
            <w:r w:rsidR="007A3B64" w:rsidRPr="007A3B64">
              <w:rPr>
                <w:rFonts w:cs="Calibri"/>
                <w:i/>
              </w:rPr>
              <w:lastRenderedPageBreak/>
              <w:t>meeting )</w:t>
            </w:r>
          </w:p>
          <w:p w:rsidR="009D7A83" w:rsidRDefault="009D7A83" w:rsidP="009D7A83">
            <w:pPr>
              <w:autoSpaceDE w:val="0"/>
              <w:autoSpaceDN w:val="0"/>
              <w:adjustRightInd w:val="0"/>
              <w:jc w:val="both"/>
              <w:rPr>
                <w:rFonts w:ascii="Cambria" w:hAnsi="Cambria"/>
                <w:sz w:val="24"/>
                <w:szCs w:val="24"/>
                <w:lang w:val="en-PH"/>
              </w:rPr>
            </w:pPr>
          </w:p>
          <w:p w:rsidR="00EE4C58" w:rsidRDefault="00EE4C58" w:rsidP="009D7A83">
            <w:pPr>
              <w:autoSpaceDE w:val="0"/>
              <w:autoSpaceDN w:val="0"/>
              <w:adjustRightInd w:val="0"/>
              <w:jc w:val="both"/>
              <w:rPr>
                <w:rFonts w:ascii="Cambria" w:hAnsi="Cambria"/>
                <w:sz w:val="24"/>
                <w:szCs w:val="24"/>
                <w:lang w:val="en-PH"/>
              </w:rPr>
            </w:pPr>
          </w:p>
        </w:tc>
      </w:tr>
      <w:tr w:rsidR="001500C0" w:rsidTr="004B2B45">
        <w:tc>
          <w:tcPr>
            <w:tcW w:w="16121" w:type="dxa"/>
            <w:gridSpan w:val="3"/>
          </w:tcPr>
          <w:p w:rsidR="001500C0" w:rsidRDefault="001500C0" w:rsidP="0007248F">
            <w:pPr>
              <w:jc w:val="center"/>
              <w:rPr>
                <w:b/>
              </w:rPr>
            </w:pPr>
          </w:p>
          <w:p w:rsidR="001500C0" w:rsidRPr="0007248F" w:rsidRDefault="001500C0" w:rsidP="0007248F">
            <w:pPr>
              <w:jc w:val="center"/>
              <w:rPr>
                <w:rFonts w:ascii="Cambria" w:hAnsi="Cambria"/>
                <w:b/>
                <w:sz w:val="24"/>
                <w:szCs w:val="24"/>
                <w:lang w:val="en-PH"/>
              </w:rPr>
            </w:pPr>
            <w:r w:rsidRPr="0007248F">
              <w:rPr>
                <w:b/>
              </w:rPr>
              <w:t>Aquaculture</w:t>
            </w:r>
          </w:p>
        </w:tc>
      </w:tr>
      <w:tr w:rsidR="001500C0" w:rsidTr="0007248F">
        <w:tc>
          <w:tcPr>
            <w:tcW w:w="5131" w:type="dxa"/>
          </w:tcPr>
          <w:p w:rsidR="001500C0" w:rsidRDefault="001500C0" w:rsidP="00445A01">
            <w:pPr>
              <w:jc w:val="both"/>
              <w:rPr>
                <w:rFonts w:ascii="Cambria" w:hAnsi="Cambria"/>
                <w:sz w:val="24"/>
                <w:szCs w:val="24"/>
                <w:lang w:val="en-PH"/>
              </w:rPr>
            </w:pPr>
          </w:p>
        </w:tc>
        <w:tc>
          <w:tcPr>
            <w:tcW w:w="5916" w:type="dxa"/>
          </w:tcPr>
          <w:p w:rsidR="001500C0" w:rsidRDefault="001500C0" w:rsidP="00445A01">
            <w:pPr>
              <w:jc w:val="both"/>
              <w:rPr>
                <w:rFonts w:ascii="Cambria" w:hAnsi="Cambria"/>
                <w:sz w:val="24"/>
                <w:szCs w:val="24"/>
                <w:lang w:val="en-PH"/>
              </w:rPr>
            </w:pPr>
          </w:p>
        </w:tc>
        <w:tc>
          <w:tcPr>
            <w:tcW w:w="5074" w:type="dxa"/>
          </w:tcPr>
          <w:p w:rsidR="001500C0" w:rsidRDefault="001500C0" w:rsidP="00445A01">
            <w:pPr>
              <w:jc w:val="both"/>
              <w:rPr>
                <w:rFonts w:ascii="Cambria" w:hAnsi="Cambria"/>
                <w:sz w:val="24"/>
                <w:szCs w:val="24"/>
                <w:lang w:val="en-PH"/>
              </w:rPr>
            </w:pPr>
          </w:p>
        </w:tc>
      </w:tr>
      <w:tr w:rsidR="001500C0" w:rsidTr="0007248F">
        <w:tc>
          <w:tcPr>
            <w:tcW w:w="5131" w:type="dxa"/>
          </w:tcPr>
          <w:p w:rsidR="001500C0" w:rsidRPr="000F26A3" w:rsidRDefault="00FD74CF" w:rsidP="00A30F1D">
            <w:pPr>
              <w:numPr>
                <w:ilvl w:val="0"/>
                <w:numId w:val="1"/>
              </w:numPr>
              <w:jc w:val="both"/>
            </w:pPr>
            <w:r w:rsidRPr="0007248F">
              <w:t>Status of Fishpond Lease Agreements (FLAs)</w:t>
            </w:r>
          </w:p>
        </w:tc>
        <w:tc>
          <w:tcPr>
            <w:tcW w:w="5916" w:type="dxa"/>
          </w:tcPr>
          <w:p w:rsidR="0070635F" w:rsidRDefault="001500C0" w:rsidP="00A30F1D">
            <w:pPr>
              <w:numPr>
                <w:ilvl w:val="0"/>
                <w:numId w:val="1"/>
              </w:numPr>
              <w:jc w:val="both"/>
            </w:pPr>
            <w:r w:rsidRPr="000F26A3">
              <w:t>Conduct of a public forum to evaluate the status of FLAs and review its guidelines</w:t>
            </w:r>
            <w:r w:rsidR="0070635F">
              <w:t>;</w:t>
            </w:r>
            <w:r w:rsidRPr="000F26A3">
              <w:t xml:space="preserve">   </w:t>
            </w:r>
          </w:p>
          <w:p w:rsidR="0070635F" w:rsidRDefault="0070635F" w:rsidP="00A30F1D">
            <w:pPr>
              <w:numPr>
                <w:ilvl w:val="0"/>
                <w:numId w:val="1"/>
              </w:numPr>
              <w:jc w:val="both"/>
            </w:pPr>
            <w:r>
              <w:t xml:space="preserve">FLAs’ </w:t>
            </w:r>
            <w:r w:rsidRPr="0007248F">
              <w:t>inventory should include best practices</w:t>
            </w:r>
            <w:r>
              <w:t>;</w:t>
            </w:r>
          </w:p>
          <w:p w:rsidR="0070635F" w:rsidRPr="002D0771" w:rsidRDefault="0070635F" w:rsidP="00A30F1D">
            <w:pPr>
              <w:numPr>
                <w:ilvl w:val="0"/>
                <w:numId w:val="1"/>
              </w:numPr>
              <w:jc w:val="both"/>
            </w:pPr>
            <w:r w:rsidRPr="002D0771">
              <w:t xml:space="preserve">Review of the requirements and assessment of existing FLAs ( classify productive and nonproductive ponds and commodities) </w:t>
            </w:r>
            <w:r>
              <w:t>; and</w:t>
            </w:r>
          </w:p>
          <w:p w:rsidR="0070635F" w:rsidRPr="002D0771" w:rsidRDefault="0070635F" w:rsidP="00A30F1D">
            <w:pPr>
              <w:numPr>
                <w:ilvl w:val="0"/>
                <w:numId w:val="1"/>
              </w:numPr>
              <w:jc w:val="both"/>
            </w:pPr>
            <w:r>
              <w:t>Development of appropriate programs on how to further develop unproductive FLAs.</w:t>
            </w:r>
          </w:p>
          <w:p w:rsidR="001500C0" w:rsidRPr="000F26A3" w:rsidRDefault="001500C0" w:rsidP="0070635F">
            <w:pPr>
              <w:ind w:left="720"/>
              <w:jc w:val="both"/>
            </w:pPr>
            <w:r w:rsidRPr="000F26A3">
              <w:t xml:space="preserve">                                               </w:t>
            </w:r>
          </w:p>
          <w:p w:rsidR="001500C0" w:rsidRPr="000F26A3" w:rsidRDefault="001500C0" w:rsidP="000F26A3">
            <w:pPr>
              <w:ind w:left="360"/>
              <w:jc w:val="both"/>
            </w:pPr>
          </w:p>
        </w:tc>
        <w:tc>
          <w:tcPr>
            <w:tcW w:w="5074" w:type="dxa"/>
          </w:tcPr>
          <w:p w:rsidR="001500C0" w:rsidRPr="00402A0B" w:rsidRDefault="001500C0" w:rsidP="00A30F1D">
            <w:pPr>
              <w:numPr>
                <w:ilvl w:val="0"/>
                <w:numId w:val="1"/>
              </w:numPr>
              <w:jc w:val="both"/>
            </w:pPr>
            <w:r w:rsidRPr="006F6941">
              <w:t>Relevant government agencies such as BFAR, DENR, LGUs, other concerned agencies and FARMCs should determine which abandoned, undeveloped or underutilized fishponds covered by the Fishpond Lease Agreements (FLAs) can be reverted/restored to their original mangrove state</w:t>
            </w:r>
            <w:r w:rsidR="00AF6131">
              <w:t>,</w:t>
            </w:r>
            <w:r w:rsidRPr="006F6941">
              <w:t xml:space="preserve"> since the Philippine Fisheries Code, as amended by RA 10654, prohibits the convers</w:t>
            </w:r>
            <w:r w:rsidR="002D0771">
              <w:t>ion of mangroves into fishponds;</w:t>
            </w:r>
          </w:p>
        </w:tc>
      </w:tr>
      <w:tr w:rsidR="001500C0" w:rsidTr="0007248F">
        <w:tc>
          <w:tcPr>
            <w:tcW w:w="5131" w:type="dxa"/>
          </w:tcPr>
          <w:p w:rsidR="001500C0" w:rsidRPr="0007248F" w:rsidRDefault="001500C0" w:rsidP="000F26A3">
            <w:pPr>
              <w:ind w:left="720"/>
              <w:jc w:val="both"/>
            </w:pPr>
          </w:p>
        </w:tc>
        <w:tc>
          <w:tcPr>
            <w:tcW w:w="5916" w:type="dxa"/>
          </w:tcPr>
          <w:p w:rsidR="001500C0" w:rsidRPr="000F26A3" w:rsidRDefault="001500C0" w:rsidP="00A30F1D">
            <w:pPr>
              <w:numPr>
                <w:ilvl w:val="0"/>
                <w:numId w:val="1"/>
              </w:numPr>
              <w:jc w:val="both"/>
            </w:pPr>
            <w:r w:rsidRPr="000F26A3">
              <w:t>Reconvening of/reactivate the National Mangrove Committee to address issues on FLAs</w:t>
            </w:r>
          </w:p>
          <w:p w:rsidR="001500C0" w:rsidRDefault="001500C0" w:rsidP="000F26A3">
            <w:pPr>
              <w:jc w:val="both"/>
              <w:rPr>
                <w:rFonts w:ascii="Cambria" w:hAnsi="Cambria"/>
                <w:sz w:val="24"/>
                <w:szCs w:val="24"/>
                <w:lang w:val="en-PH"/>
              </w:rPr>
            </w:pPr>
          </w:p>
        </w:tc>
        <w:tc>
          <w:tcPr>
            <w:tcW w:w="5074" w:type="dxa"/>
          </w:tcPr>
          <w:p w:rsidR="001500C0" w:rsidRDefault="001500C0" w:rsidP="00445A01">
            <w:pPr>
              <w:jc w:val="both"/>
              <w:rPr>
                <w:rFonts w:ascii="Cambria" w:hAnsi="Cambria"/>
                <w:sz w:val="24"/>
                <w:szCs w:val="24"/>
                <w:lang w:val="en-PH"/>
              </w:rPr>
            </w:pPr>
          </w:p>
        </w:tc>
      </w:tr>
      <w:tr w:rsidR="001500C0" w:rsidTr="00402A0B">
        <w:tc>
          <w:tcPr>
            <w:tcW w:w="5131" w:type="dxa"/>
            <w:tcBorders>
              <w:bottom w:val="single" w:sz="4" w:space="0" w:color="000000"/>
            </w:tcBorders>
          </w:tcPr>
          <w:p w:rsidR="001500C0" w:rsidRPr="0007248F" w:rsidRDefault="001500C0" w:rsidP="00A30F1D">
            <w:pPr>
              <w:numPr>
                <w:ilvl w:val="0"/>
                <w:numId w:val="1"/>
              </w:numPr>
              <w:jc w:val="both"/>
            </w:pPr>
            <w:r w:rsidRPr="0007248F">
              <w:t>Livelihood support interventions for aquaculture, particularly for fish pond operators</w:t>
            </w:r>
          </w:p>
          <w:p w:rsidR="001500C0" w:rsidRPr="0007248F" w:rsidRDefault="001500C0" w:rsidP="000F26A3">
            <w:pPr>
              <w:ind w:left="720"/>
              <w:jc w:val="both"/>
            </w:pPr>
          </w:p>
        </w:tc>
        <w:tc>
          <w:tcPr>
            <w:tcW w:w="5916" w:type="dxa"/>
            <w:tcBorders>
              <w:bottom w:val="single" w:sz="4" w:space="0" w:color="000000"/>
            </w:tcBorders>
          </w:tcPr>
          <w:p w:rsidR="001500C0" w:rsidRPr="00402A0B" w:rsidRDefault="001500C0" w:rsidP="00A30F1D">
            <w:pPr>
              <w:numPr>
                <w:ilvl w:val="0"/>
                <w:numId w:val="1"/>
              </w:numPr>
              <w:jc w:val="both"/>
            </w:pPr>
            <w:r w:rsidRPr="000F26A3">
              <w:t>Recommending to the Department of Labor a</w:t>
            </w:r>
            <w:r w:rsidR="002E756E">
              <w:t>nd Employment to review the DOLE</w:t>
            </w:r>
            <w:r w:rsidRPr="000F26A3">
              <w:t xml:space="preserve"> Integrated Livelihood Program (DILP) guidelines to include the provision of materials for the construction of fish cages</w:t>
            </w:r>
          </w:p>
        </w:tc>
        <w:tc>
          <w:tcPr>
            <w:tcW w:w="5074" w:type="dxa"/>
            <w:tcBorders>
              <w:bottom w:val="single" w:sz="4" w:space="0" w:color="000000"/>
            </w:tcBorders>
          </w:tcPr>
          <w:p w:rsidR="001500C0" w:rsidRDefault="001500C0" w:rsidP="00445A01">
            <w:pPr>
              <w:jc w:val="both"/>
              <w:rPr>
                <w:rFonts w:ascii="Cambria" w:hAnsi="Cambria"/>
                <w:sz w:val="24"/>
                <w:szCs w:val="24"/>
                <w:lang w:val="en-PH"/>
              </w:rPr>
            </w:pPr>
          </w:p>
        </w:tc>
      </w:tr>
      <w:tr w:rsidR="001500C0" w:rsidTr="00402A0B">
        <w:trPr>
          <w:trHeight w:val="2814"/>
        </w:trPr>
        <w:tc>
          <w:tcPr>
            <w:tcW w:w="5131" w:type="dxa"/>
            <w:tcBorders>
              <w:bottom w:val="single" w:sz="4" w:space="0" w:color="auto"/>
            </w:tcBorders>
          </w:tcPr>
          <w:p w:rsidR="0037727C" w:rsidRPr="003D5A9B" w:rsidRDefault="00A30F1D" w:rsidP="00A30F1D">
            <w:pPr>
              <w:numPr>
                <w:ilvl w:val="0"/>
                <w:numId w:val="1"/>
              </w:numPr>
              <w:tabs>
                <w:tab w:val="num" w:pos="720"/>
              </w:tabs>
              <w:jc w:val="both"/>
              <w:rPr>
                <w:lang w:val="en-PH"/>
              </w:rPr>
            </w:pPr>
            <w:r w:rsidRPr="003D5A9B">
              <w:rPr>
                <w:lang w:val="en-PH"/>
              </w:rPr>
              <w:t>Decline in aquaculture production due to high cost of inputs such as feeds (for some sub-sectors) and diseases (e.g. in shrimps- White spot syndrome virus (WSSV), tilapia-tilapia lake virus):</w:t>
            </w:r>
          </w:p>
          <w:p w:rsidR="001500C0" w:rsidRPr="00EE4C58" w:rsidRDefault="001500C0" w:rsidP="00EE4C58">
            <w:pPr>
              <w:ind w:left="720"/>
              <w:jc w:val="both"/>
            </w:pPr>
            <w:r w:rsidRPr="00EE4C58">
              <w:t xml:space="preserve">a) Consolidate all researches conducted on alternative/substitute feeds </w:t>
            </w:r>
          </w:p>
          <w:p w:rsidR="001500C0" w:rsidRPr="00EE4C58" w:rsidRDefault="001500C0" w:rsidP="00EE4C58">
            <w:pPr>
              <w:ind w:left="720"/>
              <w:jc w:val="both"/>
            </w:pPr>
            <w:r w:rsidRPr="00EE4C58">
              <w:t xml:space="preserve">b) Harmonization of all the undertakings of the different subsectors/stakeholders </w:t>
            </w:r>
          </w:p>
          <w:p w:rsidR="001500C0" w:rsidRPr="00EE4C58" w:rsidRDefault="001500C0" w:rsidP="00EE4C58">
            <w:pPr>
              <w:ind w:left="720"/>
              <w:jc w:val="both"/>
            </w:pPr>
            <w:proofErr w:type="gramStart"/>
            <w:r w:rsidRPr="00EE4C58">
              <w:t>c)Effective</w:t>
            </w:r>
            <w:proofErr w:type="gramEnd"/>
            <w:r w:rsidRPr="00EE4C58">
              <w:t xml:space="preserve"> diseases management to ensure safe and stable supply of raw materials, particularly shrimp for </w:t>
            </w:r>
            <w:r w:rsidRPr="00EE4C58">
              <w:lastRenderedPageBreak/>
              <w:t xml:space="preserve">processing. </w:t>
            </w:r>
          </w:p>
          <w:p w:rsidR="001500C0" w:rsidRPr="0007248F" w:rsidRDefault="001500C0" w:rsidP="000F26A3">
            <w:pPr>
              <w:jc w:val="both"/>
            </w:pPr>
          </w:p>
        </w:tc>
        <w:tc>
          <w:tcPr>
            <w:tcW w:w="5916" w:type="dxa"/>
            <w:tcBorders>
              <w:bottom w:val="single" w:sz="4" w:space="0" w:color="auto"/>
            </w:tcBorders>
          </w:tcPr>
          <w:p w:rsidR="0037727C" w:rsidRPr="003D5A9B" w:rsidRDefault="00A30F1D" w:rsidP="00A30F1D">
            <w:pPr>
              <w:numPr>
                <w:ilvl w:val="0"/>
                <w:numId w:val="1"/>
              </w:numPr>
              <w:tabs>
                <w:tab w:val="num" w:pos="720"/>
              </w:tabs>
              <w:jc w:val="both"/>
              <w:rPr>
                <w:lang w:val="en-PH"/>
              </w:rPr>
            </w:pPr>
            <w:r w:rsidRPr="003D5A9B">
              <w:lastRenderedPageBreak/>
              <w:t>Strengthened support to aquaculture R&amp;D which will serve as reference in the formulation of policy recommendations to address supply issues &amp; cost competitiveness</w:t>
            </w:r>
            <w:r w:rsidR="003D5A9B">
              <w:rPr>
                <w:lang w:val="en-PH"/>
              </w:rPr>
              <w:t xml:space="preserve">; </w:t>
            </w:r>
            <w:r w:rsidRPr="003D5A9B">
              <w:t xml:space="preserve">and </w:t>
            </w:r>
          </w:p>
          <w:p w:rsidR="0037727C" w:rsidRPr="00E43D4A" w:rsidRDefault="00A30F1D" w:rsidP="00A30F1D">
            <w:pPr>
              <w:numPr>
                <w:ilvl w:val="0"/>
                <w:numId w:val="1"/>
              </w:numPr>
              <w:tabs>
                <w:tab w:val="num" w:pos="720"/>
              </w:tabs>
              <w:jc w:val="both"/>
              <w:rPr>
                <w:lang w:val="en-PH"/>
              </w:rPr>
            </w:pPr>
            <w:r w:rsidRPr="00E43D4A">
              <w:rPr>
                <w:lang w:val="en-PH"/>
              </w:rPr>
              <w:t>Development of incentive schemes to support low cost input production;</w:t>
            </w:r>
          </w:p>
          <w:p w:rsidR="0037727C" w:rsidRPr="00E43D4A" w:rsidRDefault="00A30F1D" w:rsidP="00A30F1D">
            <w:pPr>
              <w:numPr>
                <w:ilvl w:val="0"/>
                <w:numId w:val="1"/>
              </w:numPr>
              <w:tabs>
                <w:tab w:val="num" w:pos="720"/>
              </w:tabs>
              <w:jc w:val="both"/>
              <w:rPr>
                <w:lang w:val="en-PH"/>
              </w:rPr>
            </w:pPr>
            <w:r w:rsidRPr="00E43D4A">
              <w:rPr>
                <w:lang w:val="en-PH"/>
              </w:rPr>
              <w:t>Review ACEF funds to include appropriate provision for aquaculture subsector, especially for fish pond operators</w:t>
            </w:r>
          </w:p>
          <w:p w:rsidR="00EE4C58" w:rsidRPr="000F26A3" w:rsidRDefault="00EE4C58" w:rsidP="00EE4C58">
            <w:pPr>
              <w:ind w:left="720"/>
              <w:jc w:val="both"/>
            </w:pPr>
          </w:p>
          <w:p w:rsidR="001500C0" w:rsidRDefault="001500C0" w:rsidP="000F26A3">
            <w:pPr>
              <w:jc w:val="both"/>
              <w:rPr>
                <w:rFonts w:ascii="Cambria" w:hAnsi="Cambria"/>
                <w:sz w:val="24"/>
                <w:szCs w:val="24"/>
                <w:lang w:val="en-PH"/>
              </w:rPr>
            </w:pPr>
          </w:p>
        </w:tc>
        <w:tc>
          <w:tcPr>
            <w:tcW w:w="5074" w:type="dxa"/>
            <w:tcBorders>
              <w:bottom w:val="single" w:sz="4" w:space="0" w:color="auto"/>
            </w:tcBorders>
          </w:tcPr>
          <w:p w:rsidR="00402A0B" w:rsidRPr="009D0D53" w:rsidRDefault="00402A0B" w:rsidP="00A30F1D">
            <w:pPr>
              <w:numPr>
                <w:ilvl w:val="0"/>
                <w:numId w:val="1"/>
              </w:numPr>
              <w:jc w:val="both"/>
            </w:pPr>
            <w:r w:rsidRPr="009D0D53">
              <w:t>Strengthen and institutionalize inter-agency coordination on policy issuances relating to fisheries through the leadership of BFAR (PCAF)</w:t>
            </w:r>
            <w:r>
              <w:t xml:space="preserve">; and </w:t>
            </w:r>
          </w:p>
          <w:p w:rsidR="001500C0" w:rsidRDefault="00EE4C58" w:rsidP="00A30F1D">
            <w:pPr>
              <w:numPr>
                <w:ilvl w:val="0"/>
                <w:numId w:val="1"/>
              </w:numPr>
              <w:jc w:val="both"/>
              <w:rPr>
                <w:rFonts w:ascii="Cambria" w:hAnsi="Cambria"/>
                <w:sz w:val="24"/>
                <w:szCs w:val="24"/>
                <w:lang w:val="en-PH"/>
              </w:rPr>
            </w:pPr>
            <w:r w:rsidRPr="00EF33F8">
              <w:t xml:space="preserve">PCAF to </w:t>
            </w:r>
            <w:r w:rsidR="003B7D5E">
              <w:t xml:space="preserve">organize a meeting with LBP, </w:t>
            </w:r>
            <w:r w:rsidRPr="00EF33F8">
              <w:t>DBM and small business bank to explain and promote aqua</w:t>
            </w:r>
            <w:r w:rsidR="00AF6131">
              <w:t>c</w:t>
            </w:r>
            <w:r w:rsidR="00EF33F8">
              <w:t>ulture for funding support</w:t>
            </w:r>
          </w:p>
        </w:tc>
      </w:tr>
      <w:tr w:rsidR="001500C0" w:rsidTr="00402A0B">
        <w:trPr>
          <w:trHeight w:val="3142"/>
        </w:trPr>
        <w:tc>
          <w:tcPr>
            <w:tcW w:w="5131" w:type="dxa"/>
            <w:tcBorders>
              <w:top w:val="single" w:sz="4" w:space="0" w:color="auto"/>
            </w:tcBorders>
          </w:tcPr>
          <w:p w:rsidR="001500C0" w:rsidRDefault="001500C0" w:rsidP="00A30F1D">
            <w:pPr>
              <w:numPr>
                <w:ilvl w:val="0"/>
                <w:numId w:val="1"/>
              </w:numPr>
              <w:jc w:val="both"/>
            </w:pPr>
            <w:r w:rsidRPr="006F6941">
              <w:lastRenderedPageBreak/>
              <w:t>Strengthen R&amp;D especially on the usage of seaweed/carrageenan towards higher level in the value chain in aquaculture</w:t>
            </w:r>
          </w:p>
          <w:p w:rsidR="001500C0" w:rsidRDefault="001500C0" w:rsidP="006F6941">
            <w:pPr>
              <w:ind w:left="720"/>
              <w:jc w:val="both"/>
            </w:pPr>
            <w:r>
              <w:t>a) Support studies (to include on-going researches) especially on mapping of seaweed sources</w:t>
            </w:r>
          </w:p>
          <w:p w:rsidR="001500C0" w:rsidRDefault="001500C0" w:rsidP="006F6941">
            <w:pPr>
              <w:ind w:left="720"/>
              <w:jc w:val="both"/>
            </w:pPr>
            <w:r>
              <w:t>b) Seaweed harvest price stabilization</w:t>
            </w:r>
          </w:p>
          <w:p w:rsidR="001500C0" w:rsidRDefault="001500C0" w:rsidP="006F6941">
            <w:pPr>
              <w:ind w:left="720"/>
              <w:jc w:val="both"/>
            </w:pPr>
            <w:r>
              <w:t>c) Farming &amp; inventory financing for seaweed</w:t>
            </w:r>
          </w:p>
          <w:p w:rsidR="001500C0" w:rsidRDefault="001500C0" w:rsidP="006F6941">
            <w:pPr>
              <w:ind w:left="720"/>
              <w:jc w:val="both"/>
            </w:pPr>
            <w:r>
              <w:t>d) Coverage in Crop insurance</w:t>
            </w:r>
          </w:p>
          <w:p w:rsidR="001500C0" w:rsidRPr="0007248F" w:rsidRDefault="001500C0" w:rsidP="006F6941">
            <w:pPr>
              <w:ind w:left="720"/>
              <w:jc w:val="both"/>
            </w:pPr>
            <w:r>
              <w:t>e)  Reconciliation of the industry and PSA data/ figures ( i.e. seaweed)</w:t>
            </w:r>
          </w:p>
        </w:tc>
        <w:tc>
          <w:tcPr>
            <w:tcW w:w="5916" w:type="dxa"/>
            <w:tcBorders>
              <w:top w:val="single" w:sz="4" w:space="0" w:color="auto"/>
            </w:tcBorders>
          </w:tcPr>
          <w:p w:rsidR="001500C0" w:rsidRDefault="001500C0" w:rsidP="00445A01">
            <w:pPr>
              <w:jc w:val="both"/>
              <w:rPr>
                <w:rFonts w:ascii="Cambria" w:hAnsi="Cambria"/>
                <w:sz w:val="24"/>
                <w:szCs w:val="24"/>
                <w:lang w:val="en-PH"/>
              </w:rPr>
            </w:pPr>
          </w:p>
          <w:p w:rsidR="009D0D53" w:rsidRDefault="009D0D53" w:rsidP="00445A01">
            <w:pPr>
              <w:jc w:val="both"/>
              <w:rPr>
                <w:rFonts w:ascii="Cambria" w:hAnsi="Cambria"/>
                <w:sz w:val="24"/>
                <w:szCs w:val="24"/>
                <w:lang w:val="en-PH"/>
              </w:rPr>
            </w:pPr>
          </w:p>
          <w:p w:rsidR="009D0D53" w:rsidRDefault="009D0D53" w:rsidP="00445A01">
            <w:pPr>
              <w:jc w:val="both"/>
              <w:rPr>
                <w:rFonts w:ascii="Cambria" w:hAnsi="Cambria"/>
                <w:sz w:val="24"/>
                <w:szCs w:val="24"/>
                <w:lang w:val="en-PH"/>
              </w:rPr>
            </w:pPr>
          </w:p>
          <w:p w:rsidR="009D0D53" w:rsidRDefault="009D0D53" w:rsidP="00445A01">
            <w:pPr>
              <w:jc w:val="both"/>
              <w:rPr>
                <w:rFonts w:ascii="Cambria" w:hAnsi="Cambria"/>
                <w:sz w:val="24"/>
                <w:szCs w:val="24"/>
                <w:lang w:val="en-PH"/>
              </w:rPr>
            </w:pPr>
          </w:p>
          <w:p w:rsidR="009D0D53" w:rsidRDefault="009D0D53" w:rsidP="00445A01">
            <w:pPr>
              <w:jc w:val="both"/>
              <w:rPr>
                <w:rFonts w:ascii="Cambria" w:hAnsi="Cambria"/>
                <w:sz w:val="24"/>
                <w:szCs w:val="24"/>
                <w:lang w:val="en-PH"/>
              </w:rPr>
            </w:pPr>
          </w:p>
          <w:p w:rsidR="009D0D53" w:rsidRDefault="009D0D53" w:rsidP="00445A01">
            <w:pPr>
              <w:jc w:val="both"/>
              <w:rPr>
                <w:rFonts w:ascii="Cambria" w:hAnsi="Cambria"/>
                <w:sz w:val="24"/>
                <w:szCs w:val="24"/>
                <w:lang w:val="en-PH"/>
              </w:rPr>
            </w:pPr>
          </w:p>
          <w:p w:rsidR="009D0D53" w:rsidRDefault="009D0D53" w:rsidP="00445A01">
            <w:pPr>
              <w:jc w:val="both"/>
              <w:rPr>
                <w:rFonts w:ascii="Cambria" w:hAnsi="Cambria"/>
                <w:sz w:val="24"/>
                <w:szCs w:val="24"/>
                <w:lang w:val="en-PH"/>
              </w:rPr>
            </w:pPr>
          </w:p>
          <w:p w:rsidR="009D0D53" w:rsidRDefault="009D0D53" w:rsidP="00445A01">
            <w:pPr>
              <w:jc w:val="both"/>
              <w:rPr>
                <w:rFonts w:ascii="Cambria" w:hAnsi="Cambria"/>
                <w:sz w:val="24"/>
                <w:szCs w:val="24"/>
                <w:lang w:val="en-PH"/>
              </w:rPr>
            </w:pPr>
          </w:p>
          <w:p w:rsidR="009D0D53" w:rsidRDefault="009D0D53" w:rsidP="00445A01">
            <w:pPr>
              <w:jc w:val="both"/>
              <w:rPr>
                <w:rFonts w:ascii="Cambria" w:hAnsi="Cambria"/>
                <w:sz w:val="24"/>
                <w:szCs w:val="24"/>
                <w:lang w:val="en-PH"/>
              </w:rPr>
            </w:pPr>
          </w:p>
          <w:p w:rsidR="009D0D53" w:rsidRDefault="009D0D53" w:rsidP="00445A01">
            <w:pPr>
              <w:jc w:val="both"/>
              <w:rPr>
                <w:rFonts w:ascii="Cambria" w:hAnsi="Cambria"/>
                <w:sz w:val="24"/>
                <w:szCs w:val="24"/>
                <w:lang w:val="en-PH"/>
              </w:rPr>
            </w:pPr>
          </w:p>
          <w:p w:rsidR="009D0D53" w:rsidRDefault="009D0D53" w:rsidP="00445A01">
            <w:pPr>
              <w:jc w:val="both"/>
              <w:rPr>
                <w:rFonts w:ascii="Cambria" w:hAnsi="Cambria"/>
                <w:sz w:val="24"/>
                <w:szCs w:val="24"/>
                <w:lang w:val="en-PH"/>
              </w:rPr>
            </w:pPr>
          </w:p>
          <w:p w:rsidR="009D0D53" w:rsidRDefault="009D0D53" w:rsidP="00445A01">
            <w:pPr>
              <w:jc w:val="both"/>
              <w:rPr>
                <w:rFonts w:ascii="Cambria" w:hAnsi="Cambria"/>
                <w:sz w:val="24"/>
                <w:szCs w:val="24"/>
                <w:lang w:val="en-PH"/>
              </w:rPr>
            </w:pPr>
          </w:p>
          <w:p w:rsidR="009D0D53" w:rsidRDefault="009D0D53" w:rsidP="00445A01">
            <w:pPr>
              <w:jc w:val="both"/>
              <w:rPr>
                <w:rFonts w:ascii="Cambria" w:hAnsi="Cambria"/>
                <w:sz w:val="24"/>
                <w:szCs w:val="24"/>
                <w:lang w:val="en-PH"/>
              </w:rPr>
            </w:pPr>
          </w:p>
          <w:p w:rsidR="009D0D53" w:rsidRDefault="009D0D53" w:rsidP="00445A01">
            <w:pPr>
              <w:jc w:val="both"/>
              <w:rPr>
                <w:rFonts w:ascii="Cambria" w:hAnsi="Cambria"/>
                <w:sz w:val="24"/>
                <w:szCs w:val="24"/>
                <w:lang w:val="en-PH"/>
              </w:rPr>
            </w:pPr>
          </w:p>
          <w:p w:rsidR="009D0D53" w:rsidRDefault="009D0D53" w:rsidP="00445A01">
            <w:pPr>
              <w:jc w:val="both"/>
              <w:rPr>
                <w:rFonts w:ascii="Cambria" w:hAnsi="Cambria"/>
                <w:sz w:val="24"/>
                <w:szCs w:val="24"/>
                <w:lang w:val="en-PH"/>
              </w:rPr>
            </w:pPr>
          </w:p>
          <w:p w:rsidR="009D0D53" w:rsidRDefault="009D0D53" w:rsidP="00445A01">
            <w:pPr>
              <w:jc w:val="both"/>
              <w:rPr>
                <w:rFonts w:ascii="Cambria" w:hAnsi="Cambria"/>
                <w:sz w:val="24"/>
                <w:szCs w:val="24"/>
                <w:lang w:val="en-PH"/>
              </w:rPr>
            </w:pPr>
          </w:p>
        </w:tc>
        <w:tc>
          <w:tcPr>
            <w:tcW w:w="5074" w:type="dxa"/>
            <w:tcBorders>
              <w:top w:val="single" w:sz="4" w:space="0" w:color="auto"/>
            </w:tcBorders>
          </w:tcPr>
          <w:p w:rsidR="001500C0" w:rsidRDefault="001500C0" w:rsidP="00445A01">
            <w:pPr>
              <w:jc w:val="both"/>
              <w:rPr>
                <w:rFonts w:ascii="Cambria" w:hAnsi="Cambria"/>
                <w:sz w:val="24"/>
                <w:szCs w:val="24"/>
                <w:lang w:val="en-PH"/>
              </w:rPr>
            </w:pPr>
          </w:p>
        </w:tc>
      </w:tr>
      <w:tr w:rsidR="009D0D53" w:rsidTr="009D0D53">
        <w:trPr>
          <w:trHeight w:val="404"/>
        </w:trPr>
        <w:tc>
          <w:tcPr>
            <w:tcW w:w="16121" w:type="dxa"/>
            <w:gridSpan w:val="3"/>
          </w:tcPr>
          <w:p w:rsidR="009D0D53" w:rsidRPr="009D0D53" w:rsidRDefault="009D0D53" w:rsidP="009D0D53">
            <w:pPr>
              <w:jc w:val="center"/>
              <w:rPr>
                <w:rFonts w:ascii="Cambria" w:hAnsi="Cambria"/>
                <w:b/>
                <w:sz w:val="24"/>
                <w:szCs w:val="24"/>
                <w:lang w:val="en-PH"/>
              </w:rPr>
            </w:pPr>
            <w:r w:rsidRPr="009D0D53">
              <w:rPr>
                <w:rFonts w:cs="Arial"/>
                <w:b/>
              </w:rPr>
              <w:t>Policy Support and Institutional Development</w:t>
            </w:r>
          </w:p>
        </w:tc>
      </w:tr>
      <w:tr w:rsidR="001500C0" w:rsidTr="0007248F">
        <w:tc>
          <w:tcPr>
            <w:tcW w:w="5131" w:type="dxa"/>
          </w:tcPr>
          <w:p w:rsidR="001500C0" w:rsidRPr="006F6941" w:rsidRDefault="009D0D53" w:rsidP="00A30F1D">
            <w:pPr>
              <w:numPr>
                <w:ilvl w:val="0"/>
                <w:numId w:val="1"/>
              </w:numPr>
              <w:jc w:val="both"/>
            </w:pPr>
            <w:r w:rsidRPr="009D0D53">
              <w:t>Proposed passage of a law creating the Department of Oceans and Fisheries and Aquatic Resources (DOFAR)</w:t>
            </w:r>
          </w:p>
        </w:tc>
        <w:tc>
          <w:tcPr>
            <w:tcW w:w="5916" w:type="dxa"/>
          </w:tcPr>
          <w:p w:rsidR="001500C0" w:rsidRDefault="00E951D2" w:rsidP="00A30F1D">
            <w:pPr>
              <w:numPr>
                <w:ilvl w:val="0"/>
                <w:numId w:val="1"/>
              </w:numPr>
              <w:jc w:val="both"/>
              <w:rPr>
                <w:rFonts w:ascii="Cambria" w:hAnsi="Cambria"/>
                <w:sz w:val="24"/>
                <w:szCs w:val="24"/>
                <w:lang w:val="en-PH"/>
              </w:rPr>
            </w:pPr>
            <w:r>
              <w:t>CFA s</w:t>
            </w:r>
            <w:r w:rsidR="009D0D53" w:rsidRPr="009D0D53">
              <w:t xml:space="preserve">pecial meeting on the proposed DOFAR </w:t>
            </w:r>
          </w:p>
        </w:tc>
        <w:tc>
          <w:tcPr>
            <w:tcW w:w="5074" w:type="dxa"/>
          </w:tcPr>
          <w:p w:rsidR="001500C0" w:rsidRDefault="001500C0" w:rsidP="00445A01">
            <w:pPr>
              <w:jc w:val="both"/>
              <w:rPr>
                <w:rFonts w:ascii="Cambria" w:hAnsi="Cambria"/>
                <w:sz w:val="24"/>
                <w:szCs w:val="24"/>
                <w:lang w:val="en-PH"/>
              </w:rPr>
            </w:pPr>
          </w:p>
        </w:tc>
      </w:tr>
      <w:tr w:rsidR="00150AAB" w:rsidTr="0007248F">
        <w:tc>
          <w:tcPr>
            <w:tcW w:w="5131" w:type="dxa"/>
          </w:tcPr>
          <w:p w:rsidR="00150AAB" w:rsidRDefault="00C15AB8" w:rsidP="00A30F1D">
            <w:pPr>
              <w:numPr>
                <w:ilvl w:val="0"/>
                <w:numId w:val="1"/>
              </w:numPr>
              <w:jc w:val="both"/>
            </w:pPr>
            <w:r>
              <w:t>Conduct o</w:t>
            </w:r>
            <w:r w:rsidR="00FD74CF">
              <w:t>f a Policy Review on DAO 156-16, tak</w:t>
            </w:r>
            <w:r w:rsidR="00AF6131">
              <w:t>ing</w:t>
            </w:r>
            <w:r w:rsidR="00FD74CF">
              <w:t xml:space="preserve"> into consideration </w:t>
            </w:r>
            <w:r>
              <w:t xml:space="preserve">small and medium commercial fishers ( i.e. tuna </w:t>
            </w:r>
            <w:proofErr w:type="spellStart"/>
            <w:r>
              <w:t>handliners</w:t>
            </w:r>
            <w:proofErr w:type="spellEnd"/>
            <w:r>
              <w:t>)</w:t>
            </w:r>
            <w:r w:rsidR="00FD74CF">
              <w:t xml:space="preserve"> </w:t>
            </w:r>
          </w:p>
        </w:tc>
        <w:tc>
          <w:tcPr>
            <w:tcW w:w="5916" w:type="dxa"/>
          </w:tcPr>
          <w:p w:rsidR="00150AAB" w:rsidRDefault="00150AAB" w:rsidP="00445A01">
            <w:pPr>
              <w:jc w:val="both"/>
              <w:rPr>
                <w:rFonts w:ascii="Cambria" w:hAnsi="Cambria"/>
                <w:sz w:val="24"/>
                <w:szCs w:val="24"/>
                <w:lang w:val="en-PH"/>
              </w:rPr>
            </w:pPr>
          </w:p>
        </w:tc>
        <w:tc>
          <w:tcPr>
            <w:tcW w:w="5074" w:type="dxa"/>
          </w:tcPr>
          <w:p w:rsidR="00150AAB" w:rsidRDefault="00E951D2" w:rsidP="00A30F1D">
            <w:pPr>
              <w:numPr>
                <w:ilvl w:val="0"/>
                <w:numId w:val="1"/>
              </w:numPr>
              <w:jc w:val="both"/>
              <w:rPr>
                <w:rFonts w:ascii="Cambria" w:hAnsi="Cambria"/>
                <w:sz w:val="24"/>
                <w:szCs w:val="24"/>
                <w:lang w:val="en-PH"/>
              </w:rPr>
            </w:pPr>
            <w:r w:rsidRPr="00E951D2">
              <w:t>Funding for the conduct of the said study on DAO 156-16</w:t>
            </w:r>
          </w:p>
        </w:tc>
      </w:tr>
    </w:tbl>
    <w:p w:rsidR="00DB35E9" w:rsidRPr="00DB35E9" w:rsidRDefault="00DB35E9" w:rsidP="00190C3D">
      <w:pPr>
        <w:jc w:val="both"/>
        <w:rPr>
          <w:rFonts w:ascii="Cambria" w:hAnsi="Cambria"/>
          <w:sz w:val="24"/>
          <w:szCs w:val="24"/>
          <w:lang w:val="en-PH"/>
        </w:rPr>
      </w:pPr>
    </w:p>
    <w:sectPr w:rsidR="00DB35E9" w:rsidRPr="00DB35E9" w:rsidSect="00DB35E9">
      <w:headerReference w:type="default" r:id="rId9"/>
      <w:footerReference w:type="default" r:id="rId10"/>
      <w:pgSz w:w="18722" w:h="12242" w:orient="landscape" w:code="119"/>
      <w:pgMar w:top="1298" w:right="1151" w:bottom="1298" w:left="1440" w:header="357" w:footer="7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7EA" w:rsidRDefault="001F37EA" w:rsidP="000E768C">
      <w:r>
        <w:separator/>
      </w:r>
    </w:p>
  </w:endnote>
  <w:endnote w:type="continuationSeparator" w:id="0">
    <w:p w:rsidR="001F37EA" w:rsidRDefault="001F37EA" w:rsidP="000E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937" w:rsidRPr="003D021A" w:rsidRDefault="00E15937" w:rsidP="003D021A">
    <w:pPr>
      <w:pStyle w:val="Footer"/>
      <w:tabs>
        <w:tab w:val="clear" w:pos="4680"/>
        <w:tab w:val="clear" w:pos="9360"/>
        <w:tab w:val="left" w:pos="7766"/>
      </w:tabs>
      <w:rPr>
        <w:i/>
      </w:rPr>
    </w:pPr>
    <w:r w:rsidRPr="003D021A">
      <w:rPr>
        <w:i/>
      </w:rPr>
      <w:tab/>
    </w:r>
  </w:p>
  <w:p w:rsidR="00E15937" w:rsidRDefault="00E1593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7EA" w:rsidRDefault="001F37EA" w:rsidP="000E768C">
      <w:r>
        <w:separator/>
      </w:r>
    </w:p>
  </w:footnote>
  <w:footnote w:type="continuationSeparator" w:id="0">
    <w:p w:rsidR="001F37EA" w:rsidRDefault="001F37EA" w:rsidP="000E7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5B" w:rsidRPr="001E23C0" w:rsidRDefault="00C0055B" w:rsidP="00481992">
    <w:pPr>
      <w:tabs>
        <w:tab w:val="left" w:pos="0"/>
      </w:tabs>
      <w:autoSpaceDE w:val="0"/>
      <w:autoSpaceDN w:val="0"/>
      <w:adjustRightInd w:val="0"/>
      <w:jc w:val="center"/>
      <w:rPr>
        <w:sz w:val="12"/>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33E0C"/>
    <w:multiLevelType w:val="hybridMultilevel"/>
    <w:tmpl w:val="23060FC2"/>
    <w:lvl w:ilvl="0" w:tplc="9AEE06FA">
      <w:numFmt w:val="bullet"/>
      <w:lvlText w:val="-"/>
      <w:lvlJc w:val="left"/>
      <w:pPr>
        <w:ind w:left="1080" w:hanging="360"/>
      </w:pPr>
      <w:rPr>
        <w:rFonts w:ascii="Arial" w:eastAsia="Times New Roman" w:hAnsi="Arial" w:cs="Arial" w:hint="default"/>
        <w:sz w:val="22"/>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
    <w:nsid w:val="6E8B1E02"/>
    <w:multiLevelType w:val="hybridMultilevel"/>
    <w:tmpl w:val="2CB80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24775F"/>
    <w:multiLevelType w:val="hybridMultilevel"/>
    <w:tmpl w:val="88B4E7AA"/>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ocumentProtection w:edit="readOnly" w:enforcement="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C3D"/>
    <w:rsid w:val="000007A3"/>
    <w:rsid w:val="00006B02"/>
    <w:rsid w:val="00010F86"/>
    <w:rsid w:val="00012A56"/>
    <w:rsid w:val="00014CD1"/>
    <w:rsid w:val="00015A48"/>
    <w:rsid w:val="00020ADD"/>
    <w:rsid w:val="000220A9"/>
    <w:rsid w:val="00022AD7"/>
    <w:rsid w:val="00024F80"/>
    <w:rsid w:val="00026310"/>
    <w:rsid w:val="0002730D"/>
    <w:rsid w:val="000314D0"/>
    <w:rsid w:val="000346AD"/>
    <w:rsid w:val="000349D6"/>
    <w:rsid w:val="00034B5B"/>
    <w:rsid w:val="0003567A"/>
    <w:rsid w:val="000358B6"/>
    <w:rsid w:val="0003790A"/>
    <w:rsid w:val="00037CD4"/>
    <w:rsid w:val="00040668"/>
    <w:rsid w:val="000408F5"/>
    <w:rsid w:val="00042768"/>
    <w:rsid w:val="000438E2"/>
    <w:rsid w:val="000504D4"/>
    <w:rsid w:val="00050529"/>
    <w:rsid w:val="000548BE"/>
    <w:rsid w:val="0005681E"/>
    <w:rsid w:val="000604A7"/>
    <w:rsid w:val="00062857"/>
    <w:rsid w:val="00062AB0"/>
    <w:rsid w:val="00062D1B"/>
    <w:rsid w:val="000644A1"/>
    <w:rsid w:val="000659C0"/>
    <w:rsid w:val="000660A7"/>
    <w:rsid w:val="00066FC9"/>
    <w:rsid w:val="00071387"/>
    <w:rsid w:val="0007248F"/>
    <w:rsid w:val="00075AEA"/>
    <w:rsid w:val="00080329"/>
    <w:rsid w:val="00080D36"/>
    <w:rsid w:val="00081111"/>
    <w:rsid w:val="00081F6D"/>
    <w:rsid w:val="0008297E"/>
    <w:rsid w:val="00086642"/>
    <w:rsid w:val="00090EDF"/>
    <w:rsid w:val="00094D64"/>
    <w:rsid w:val="000961B3"/>
    <w:rsid w:val="000965B5"/>
    <w:rsid w:val="000968CC"/>
    <w:rsid w:val="00096990"/>
    <w:rsid w:val="000A03A4"/>
    <w:rsid w:val="000A1927"/>
    <w:rsid w:val="000A28A0"/>
    <w:rsid w:val="000A31D8"/>
    <w:rsid w:val="000A7ACD"/>
    <w:rsid w:val="000A7D9A"/>
    <w:rsid w:val="000B0016"/>
    <w:rsid w:val="000B1BD1"/>
    <w:rsid w:val="000B1ECB"/>
    <w:rsid w:val="000B3399"/>
    <w:rsid w:val="000B3F1F"/>
    <w:rsid w:val="000B41AB"/>
    <w:rsid w:val="000B5A7C"/>
    <w:rsid w:val="000C0605"/>
    <w:rsid w:val="000C0DE3"/>
    <w:rsid w:val="000C291D"/>
    <w:rsid w:val="000C5418"/>
    <w:rsid w:val="000C5977"/>
    <w:rsid w:val="000D1260"/>
    <w:rsid w:val="000D1AF4"/>
    <w:rsid w:val="000D27DF"/>
    <w:rsid w:val="000D4623"/>
    <w:rsid w:val="000D573A"/>
    <w:rsid w:val="000E11BB"/>
    <w:rsid w:val="000E1DF1"/>
    <w:rsid w:val="000E20E6"/>
    <w:rsid w:val="000E23DF"/>
    <w:rsid w:val="000E2D2B"/>
    <w:rsid w:val="000E5F4C"/>
    <w:rsid w:val="000E768C"/>
    <w:rsid w:val="000E7E0B"/>
    <w:rsid w:val="000F1050"/>
    <w:rsid w:val="000F26A3"/>
    <w:rsid w:val="000F27F1"/>
    <w:rsid w:val="000F4426"/>
    <w:rsid w:val="000F6B44"/>
    <w:rsid w:val="000F6D7A"/>
    <w:rsid w:val="00104011"/>
    <w:rsid w:val="001043AC"/>
    <w:rsid w:val="0011093A"/>
    <w:rsid w:val="00110BE1"/>
    <w:rsid w:val="00110E6E"/>
    <w:rsid w:val="001113EF"/>
    <w:rsid w:val="00112BB6"/>
    <w:rsid w:val="00115F4D"/>
    <w:rsid w:val="0011604E"/>
    <w:rsid w:val="00117DAF"/>
    <w:rsid w:val="00120D6A"/>
    <w:rsid w:val="00121510"/>
    <w:rsid w:val="00121F64"/>
    <w:rsid w:val="00126553"/>
    <w:rsid w:val="0012790F"/>
    <w:rsid w:val="00130B9C"/>
    <w:rsid w:val="001312D3"/>
    <w:rsid w:val="00132AF8"/>
    <w:rsid w:val="001330BB"/>
    <w:rsid w:val="001404D4"/>
    <w:rsid w:val="0014261F"/>
    <w:rsid w:val="00142CB6"/>
    <w:rsid w:val="00143376"/>
    <w:rsid w:val="00143E3D"/>
    <w:rsid w:val="0014539A"/>
    <w:rsid w:val="00145F48"/>
    <w:rsid w:val="001463E6"/>
    <w:rsid w:val="001500C0"/>
    <w:rsid w:val="00150AAB"/>
    <w:rsid w:val="00150C91"/>
    <w:rsid w:val="001533F8"/>
    <w:rsid w:val="00153948"/>
    <w:rsid w:val="00156632"/>
    <w:rsid w:val="0016007A"/>
    <w:rsid w:val="0016125C"/>
    <w:rsid w:val="00163470"/>
    <w:rsid w:val="00163CAB"/>
    <w:rsid w:val="00165685"/>
    <w:rsid w:val="0016597A"/>
    <w:rsid w:val="00171CBC"/>
    <w:rsid w:val="00172BC7"/>
    <w:rsid w:val="00174036"/>
    <w:rsid w:val="0017451E"/>
    <w:rsid w:val="00174AD6"/>
    <w:rsid w:val="00175741"/>
    <w:rsid w:val="001763AD"/>
    <w:rsid w:val="0018008D"/>
    <w:rsid w:val="0018036C"/>
    <w:rsid w:val="00182515"/>
    <w:rsid w:val="00182B98"/>
    <w:rsid w:val="00184EAA"/>
    <w:rsid w:val="00185D19"/>
    <w:rsid w:val="001868F1"/>
    <w:rsid w:val="001901C5"/>
    <w:rsid w:val="00190B06"/>
    <w:rsid w:val="00190C3D"/>
    <w:rsid w:val="00194A87"/>
    <w:rsid w:val="001956EB"/>
    <w:rsid w:val="00195A60"/>
    <w:rsid w:val="00195A9C"/>
    <w:rsid w:val="0019789A"/>
    <w:rsid w:val="001A6454"/>
    <w:rsid w:val="001B1543"/>
    <w:rsid w:val="001B50AA"/>
    <w:rsid w:val="001C1F49"/>
    <w:rsid w:val="001C2645"/>
    <w:rsid w:val="001C415B"/>
    <w:rsid w:val="001C5F3A"/>
    <w:rsid w:val="001C606F"/>
    <w:rsid w:val="001D05C8"/>
    <w:rsid w:val="001D3F9F"/>
    <w:rsid w:val="001D5303"/>
    <w:rsid w:val="001D645D"/>
    <w:rsid w:val="001E1809"/>
    <w:rsid w:val="001E23C0"/>
    <w:rsid w:val="001E30D1"/>
    <w:rsid w:val="001E543E"/>
    <w:rsid w:val="001F30EF"/>
    <w:rsid w:val="001F37EA"/>
    <w:rsid w:val="001F3EAB"/>
    <w:rsid w:val="001F5C73"/>
    <w:rsid w:val="00203343"/>
    <w:rsid w:val="00204B72"/>
    <w:rsid w:val="00205017"/>
    <w:rsid w:val="0020542E"/>
    <w:rsid w:val="00210ED3"/>
    <w:rsid w:val="00214FC8"/>
    <w:rsid w:val="00217C8F"/>
    <w:rsid w:val="00220303"/>
    <w:rsid w:val="00225AB4"/>
    <w:rsid w:val="002300C8"/>
    <w:rsid w:val="00232DA3"/>
    <w:rsid w:val="00233F1A"/>
    <w:rsid w:val="00234C69"/>
    <w:rsid w:val="00234F6A"/>
    <w:rsid w:val="002402D6"/>
    <w:rsid w:val="00241C59"/>
    <w:rsid w:val="002471D3"/>
    <w:rsid w:val="00250F71"/>
    <w:rsid w:val="002524BB"/>
    <w:rsid w:val="0025544B"/>
    <w:rsid w:val="00256E0A"/>
    <w:rsid w:val="0025741B"/>
    <w:rsid w:val="00260E77"/>
    <w:rsid w:val="002612B8"/>
    <w:rsid w:val="00261CFB"/>
    <w:rsid w:val="00263FB0"/>
    <w:rsid w:val="00264CDF"/>
    <w:rsid w:val="002665ED"/>
    <w:rsid w:val="00267A4B"/>
    <w:rsid w:val="002708FB"/>
    <w:rsid w:val="002717E0"/>
    <w:rsid w:val="00272AAB"/>
    <w:rsid w:val="0027306E"/>
    <w:rsid w:val="00273AAD"/>
    <w:rsid w:val="00275A28"/>
    <w:rsid w:val="00276994"/>
    <w:rsid w:val="002769B8"/>
    <w:rsid w:val="002777F4"/>
    <w:rsid w:val="00285816"/>
    <w:rsid w:val="0028611F"/>
    <w:rsid w:val="0028622D"/>
    <w:rsid w:val="00287848"/>
    <w:rsid w:val="002920E0"/>
    <w:rsid w:val="00292D49"/>
    <w:rsid w:val="0029457E"/>
    <w:rsid w:val="00295371"/>
    <w:rsid w:val="00295554"/>
    <w:rsid w:val="002957E7"/>
    <w:rsid w:val="00296C69"/>
    <w:rsid w:val="00297CA8"/>
    <w:rsid w:val="00297F71"/>
    <w:rsid w:val="002A1396"/>
    <w:rsid w:val="002A4EAC"/>
    <w:rsid w:val="002A4F02"/>
    <w:rsid w:val="002A7630"/>
    <w:rsid w:val="002B10D4"/>
    <w:rsid w:val="002B119F"/>
    <w:rsid w:val="002B4417"/>
    <w:rsid w:val="002B6196"/>
    <w:rsid w:val="002B6290"/>
    <w:rsid w:val="002B72A2"/>
    <w:rsid w:val="002B76E2"/>
    <w:rsid w:val="002B7AAE"/>
    <w:rsid w:val="002C1E81"/>
    <w:rsid w:val="002C3421"/>
    <w:rsid w:val="002C3890"/>
    <w:rsid w:val="002C441B"/>
    <w:rsid w:val="002C5586"/>
    <w:rsid w:val="002C609F"/>
    <w:rsid w:val="002C76C2"/>
    <w:rsid w:val="002D0077"/>
    <w:rsid w:val="002D0771"/>
    <w:rsid w:val="002D0D15"/>
    <w:rsid w:val="002D15EB"/>
    <w:rsid w:val="002D182C"/>
    <w:rsid w:val="002D5588"/>
    <w:rsid w:val="002D63F4"/>
    <w:rsid w:val="002E00D5"/>
    <w:rsid w:val="002E0583"/>
    <w:rsid w:val="002E3DDA"/>
    <w:rsid w:val="002E5ABD"/>
    <w:rsid w:val="002E6635"/>
    <w:rsid w:val="002E756E"/>
    <w:rsid w:val="002F1990"/>
    <w:rsid w:val="002F2D19"/>
    <w:rsid w:val="002F67A2"/>
    <w:rsid w:val="002F67EE"/>
    <w:rsid w:val="002F67FD"/>
    <w:rsid w:val="002F6A9E"/>
    <w:rsid w:val="00301869"/>
    <w:rsid w:val="003042C7"/>
    <w:rsid w:val="0030541C"/>
    <w:rsid w:val="003055C2"/>
    <w:rsid w:val="00312F84"/>
    <w:rsid w:val="00314A72"/>
    <w:rsid w:val="00324411"/>
    <w:rsid w:val="00324EB8"/>
    <w:rsid w:val="003265D2"/>
    <w:rsid w:val="00330415"/>
    <w:rsid w:val="00331033"/>
    <w:rsid w:val="003331B3"/>
    <w:rsid w:val="00333B86"/>
    <w:rsid w:val="00334753"/>
    <w:rsid w:val="00334CCC"/>
    <w:rsid w:val="00334F6B"/>
    <w:rsid w:val="00336AB8"/>
    <w:rsid w:val="00336B98"/>
    <w:rsid w:val="00345F9B"/>
    <w:rsid w:val="003519BB"/>
    <w:rsid w:val="003535B0"/>
    <w:rsid w:val="00354667"/>
    <w:rsid w:val="0035627D"/>
    <w:rsid w:val="00356F8C"/>
    <w:rsid w:val="00361A0F"/>
    <w:rsid w:val="003644FA"/>
    <w:rsid w:val="00366050"/>
    <w:rsid w:val="003664A2"/>
    <w:rsid w:val="00367C7F"/>
    <w:rsid w:val="00372622"/>
    <w:rsid w:val="003726F8"/>
    <w:rsid w:val="00373130"/>
    <w:rsid w:val="00374211"/>
    <w:rsid w:val="003757B3"/>
    <w:rsid w:val="0037727C"/>
    <w:rsid w:val="00381A18"/>
    <w:rsid w:val="003830A5"/>
    <w:rsid w:val="00386C26"/>
    <w:rsid w:val="00392C20"/>
    <w:rsid w:val="00392F0B"/>
    <w:rsid w:val="00395D5D"/>
    <w:rsid w:val="003966DE"/>
    <w:rsid w:val="00397977"/>
    <w:rsid w:val="003A0909"/>
    <w:rsid w:val="003A21A7"/>
    <w:rsid w:val="003A2790"/>
    <w:rsid w:val="003A3527"/>
    <w:rsid w:val="003A376F"/>
    <w:rsid w:val="003A3B77"/>
    <w:rsid w:val="003A40FE"/>
    <w:rsid w:val="003A447F"/>
    <w:rsid w:val="003A4BB2"/>
    <w:rsid w:val="003A51C3"/>
    <w:rsid w:val="003A5B80"/>
    <w:rsid w:val="003A5DBD"/>
    <w:rsid w:val="003B0100"/>
    <w:rsid w:val="003B0272"/>
    <w:rsid w:val="003B090E"/>
    <w:rsid w:val="003B2782"/>
    <w:rsid w:val="003B5E7C"/>
    <w:rsid w:val="003B7C35"/>
    <w:rsid w:val="003B7D5E"/>
    <w:rsid w:val="003C0AC6"/>
    <w:rsid w:val="003C44FE"/>
    <w:rsid w:val="003D021A"/>
    <w:rsid w:val="003D07A7"/>
    <w:rsid w:val="003D1847"/>
    <w:rsid w:val="003D2BBC"/>
    <w:rsid w:val="003D2EE2"/>
    <w:rsid w:val="003D40FF"/>
    <w:rsid w:val="003D5A9B"/>
    <w:rsid w:val="003D797E"/>
    <w:rsid w:val="003D7CA2"/>
    <w:rsid w:val="003E058E"/>
    <w:rsid w:val="003E149C"/>
    <w:rsid w:val="003E2501"/>
    <w:rsid w:val="003E6BCE"/>
    <w:rsid w:val="003E73F3"/>
    <w:rsid w:val="003E7699"/>
    <w:rsid w:val="003F3E8E"/>
    <w:rsid w:val="003F4086"/>
    <w:rsid w:val="003F4322"/>
    <w:rsid w:val="003F43B9"/>
    <w:rsid w:val="003F580D"/>
    <w:rsid w:val="0040006B"/>
    <w:rsid w:val="00400B81"/>
    <w:rsid w:val="0040198C"/>
    <w:rsid w:val="00401B2D"/>
    <w:rsid w:val="00402A0B"/>
    <w:rsid w:val="004038ED"/>
    <w:rsid w:val="0040439B"/>
    <w:rsid w:val="004061F0"/>
    <w:rsid w:val="004103D8"/>
    <w:rsid w:val="00411D31"/>
    <w:rsid w:val="00413433"/>
    <w:rsid w:val="00417259"/>
    <w:rsid w:val="00422CEC"/>
    <w:rsid w:val="00423E9E"/>
    <w:rsid w:val="0042522D"/>
    <w:rsid w:val="00427926"/>
    <w:rsid w:val="0043067F"/>
    <w:rsid w:val="00432F10"/>
    <w:rsid w:val="00434A5A"/>
    <w:rsid w:val="00436106"/>
    <w:rsid w:val="004375D8"/>
    <w:rsid w:val="0043772E"/>
    <w:rsid w:val="00441AB4"/>
    <w:rsid w:val="00442B16"/>
    <w:rsid w:val="004433D6"/>
    <w:rsid w:val="00443C9E"/>
    <w:rsid w:val="0044441A"/>
    <w:rsid w:val="00445703"/>
    <w:rsid w:val="00445A01"/>
    <w:rsid w:val="0044633B"/>
    <w:rsid w:val="004472FD"/>
    <w:rsid w:val="0045215C"/>
    <w:rsid w:val="0045218B"/>
    <w:rsid w:val="004522CF"/>
    <w:rsid w:val="00452DCA"/>
    <w:rsid w:val="004537AC"/>
    <w:rsid w:val="0045693E"/>
    <w:rsid w:val="0045703D"/>
    <w:rsid w:val="00457D2D"/>
    <w:rsid w:val="00460EC5"/>
    <w:rsid w:val="00461F51"/>
    <w:rsid w:val="004640EA"/>
    <w:rsid w:val="00465DA6"/>
    <w:rsid w:val="00466007"/>
    <w:rsid w:val="00467365"/>
    <w:rsid w:val="00471E61"/>
    <w:rsid w:val="0047383E"/>
    <w:rsid w:val="004751CC"/>
    <w:rsid w:val="00476B25"/>
    <w:rsid w:val="00477561"/>
    <w:rsid w:val="00477E5E"/>
    <w:rsid w:val="004803E6"/>
    <w:rsid w:val="00481992"/>
    <w:rsid w:val="00481CC2"/>
    <w:rsid w:val="00482267"/>
    <w:rsid w:val="004873BB"/>
    <w:rsid w:val="004912C9"/>
    <w:rsid w:val="00491C8A"/>
    <w:rsid w:val="00491D9F"/>
    <w:rsid w:val="00492774"/>
    <w:rsid w:val="0049591D"/>
    <w:rsid w:val="0049687D"/>
    <w:rsid w:val="004A08DA"/>
    <w:rsid w:val="004A0C81"/>
    <w:rsid w:val="004A308D"/>
    <w:rsid w:val="004A463E"/>
    <w:rsid w:val="004B1A01"/>
    <w:rsid w:val="004B3F09"/>
    <w:rsid w:val="004B7F5C"/>
    <w:rsid w:val="004C354B"/>
    <w:rsid w:val="004D007A"/>
    <w:rsid w:val="004D0BF4"/>
    <w:rsid w:val="004D17F4"/>
    <w:rsid w:val="004D1F66"/>
    <w:rsid w:val="004D3D3C"/>
    <w:rsid w:val="004D5FEE"/>
    <w:rsid w:val="004D604A"/>
    <w:rsid w:val="004D6429"/>
    <w:rsid w:val="004E0310"/>
    <w:rsid w:val="004E0926"/>
    <w:rsid w:val="004E1D2B"/>
    <w:rsid w:val="004E5E37"/>
    <w:rsid w:val="004E6CA3"/>
    <w:rsid w:val="004E786E"/>
    <w:rsid w:val="004E7BD1"/>
    <w:rsid w:val="004E7F76"/>
    <w:rsid w:val="004F2C95"/>
    <w:rsid w:val="004F3F1A"/>
    <w:rsid w:val="004F42ED"/>
    <w:rsid w:val="00500378"/>
    <w:rsid w:val="00500663"/>
    <w:rsid w:val="00500865"/>
    <w:rsid w:val="00503194"/>
    <w:rsid w:val="00503586"/>
    <w:rsid w:val="00504521"/>
    <w:rsid w:val="0050680E"/>
    <w:rsid w:val="00506BA5"/>
    <w:rsid w:val="005071B2"/>
    <w:rsid w:val="00507CBB"/>
    <w:rsid w:val="00510DF6"/>
    <w:rsid w:val="00511744"/>
    <w:rsid w:val="0051248B"/>
    <w:rsid w:val="005149C6"/>
    <w:rsid w:val="00515F40"/>
    <w:rsid w:val="0051724C"/>
    <w:rsid w:val="00520AA1"/>
    <w:rsid w:val="005225AF"/>
    <w:rsid w:val="0052781F"/>
    <w:rsid w:val="00530C6E"/>
    <w:rsid w:val="00531382"/>
    <w:rsid w:val="00531E29"/>
    <w:rsid w:val="005328C2"/>
    <w:rsid w:val="00533AB2"/>
    <w:rsid w:val="005360E2"/>
    <w:rsid w:val="00536EE3"/>
    <w:rsid w:val="00537BDE"/>
    <w:rsid w:val="00541AB0"/>
    <w:rsid w:val="00542734"/>
    <w:rsid w:val="00543E85"/>
    <w:rsid w:val="0054418A"/>
    <w:rsid w:val="0054573F"/>
    <w:rsid w:val="00546B77"/>
    <w:rsid w:val="005525ED"/>
    <w:rsid w:val="00553A5B"/>
    <w:rsid w:val="00553B15"/>
    <w:rsid w:val="00560A13"/>
    <w:rsid w:val="00561458"/>
    <w:rsid w:val="005634F6"/>
    <w:rsid w:val="00564D2B"/>
    <w:rsid w:val="00564F89"/>
    <w:rsid w:val="00570CAF"/>
    <w:rsid w:val="00570E77"/>
    <w:rsid w:val="005719EB"/>
    <w:rsid w:val="005724D1"/>
    <w:rsid w:val="005732A9"/>
    <w:rsid w:val="005824E1"/>
    <w:rsid w:val="005837E5"/>
    <w:rsid w:val="00587BD9"/>
    <w:rsid w:val="00590B04"/>
    <w:rsid w:val="00591CB9"/>
    <w:rsid w:val="0059350D"/>
    <w:rsid w:val="0059534F"/>
    <w:rsid w:val="00595D49"/>
    <w:rsid w:val="00596FD2"/>
    <w:rsid w:val="005A350B"/>
    <w:rsid w:val="005A3E52"/>
    <w:rsid w:val="005A6EFE"/>
    <w:rsid w:val="005A70C7"/>
    <w:rsid w:val="005B03FE"/>
    <w:rsid w:val="005B26F1"/>
    <w:rsid w:val="005B471D"/>
    <w:rsid w:val="005C1475"/>
    <w:rsid w:val="005C22A8"/>
    <w:rsid w:val="005C2BA3"/>
    <w:rsid w:val="005C438E"/>
    <w:rsid w:val="005C6C93"/>
    <w:rsid w:val="005D0AFF"/>
    <w:rsid w:val="005D0E1B"/>
    <w:rsid w:val="005D16E1"/>
    <w:rsid w:val="005E114A"/>
    <w:rsid w:val="005E12E5"/>
    <w:rsid w:val="005E1B74"/>
    <w:rsid w:val="005E27D1"/>
    <w:rsid w:val="005E58E5"/>
    <w:rsid w:val="005F082A"/>
    <w:rsid w:val="005F2802"/>
    <w:rsid w:val="005F4983"/>
    <w:rsid w:val="006001B7"/>
    <w:rsid w:val="0060082E"/>
    <w:rsid w:val="00601F10"/>
    <w:rsid w:val="006020DE"/>
    <w:rsid w:val="00602968"/>
    <w:rsid w:val="0060335D"/>
    <w:rsid w:val="006055E8"/>
    <w:rsid w:val="00605A40"/>
    <w:rsid w:val="00606548"/>
    <w:rsid w:val="00606A2C"/>
    <w:rsid w:val="006070BD"/>
    <w:rsid w:val="006074A7"/>
    <w:rsid w:val="006079B6"/>
    <w:rsid w:val="00607EDA"/>
    <w:rsid w:val="006104E1"/>
    <w:rsid w:val="00611683"/>
    <w:rsid w:val="00611B1F"/>
    <w:rsid w:val="00616ED5"/>
    <w:rsid w:val="00617599"/>
    <w:rsid w:val="006206CE"/>
    <w:rsid w:val="00620FB3"/>
    <w:rsid w:val="0062202B"/>
    <w:rsid w:val="006225F4"/>
    <w:rsid w:val="00622858"/>
    <w:rsid w:val="00622EF9"/>
    <w:rsid w:val="0062445C"/>
    <w:rsid w:val="006247BD"/>
    <w:rsid w:val="00625202"/>
    <w:rsid w:val="00633E87"/>
    <w:rsid w:val="00636149"/>
    <w:rsid w:val="00641138"/>
    <w:rsid w:val="0064533D"/>
    <w:rsid w:val="0064708C"/>
    <w:rsid w:val="006500E2"/>
    <w:rsid w:val="006520A9"/>
    <w:rsid w:val="00653760"/>
    <w:rsid w:val="00653EA3"/>
    <w:rsid w:val="00654B49"/>
    <w:rsid w:val="006569D4"/>
    <w:rsid w:val="00657201"/>
    <w:rsid w:val="0065748B"/>
    <w:rsid w:val="0066003D"/>
    <w:rsid w:val="006603EF"/>
    <w:rsid w:val="0066094A"/>
    <w:rsid w:val="00660C12"/>
    <w:rsid w:val="00662D73"/>
    <w:rsid w:val="00664928"/>
    <w:rsid w:val="0066571B"/>
    <w:rsid w:val="0066661F"/>
    <w:rsid w:val="006676D0"/>
    <w:rsid w:val="006711E1"/>
    <w:rsid w:val="0067435C"/>
    <w:rsid w:val="006749C4"/>
    <w:rsid w:val="00676672"/>
    <w:rsid w:val="00676B0D"/>
    <w:rsid w:val="0067768F"/>
    <w:rsid w:val="006809D9"/>
    <w:rsid w:val="0068196E"/>
    <w:rsid w:val="00681BC1"/>
    <w:rsid w:val="00682E4B"/>
    <w:rsid w:val="00685FC9"/>
    <w:rsid w:val="00687014"/>
    <w:rsid w:val="006874D3"/>
    <w:rsid w:val="00692962"/>
    <w:rsid w:val="0069578B"/>
    <w:rsid w:val="006966DA"/>
    <w:rsid w:val="00697C50"/>
    <w:rsid w:val="006A0302"/>
    <w:rsid w:val="006A1206"/>
    <w:rsid w:val="006A2473"/>
    <w:rsid w:val="006A2EC7"/>
    <w:rsid w:val="006A5E11"/>
    <w:rsid w:val="006A6F52"/>
    <w:rsid w:val="006A75E5"/>
    <w:rsid w:val="006B312E"/>
    <w:rsid w:val="006B471F"/>
    <w:rsid w:val="006B4DAC"/>
    <w:rsid w:val="006B50F4"/>
    <w:rsid w:val="006B5172"/>
    <w:rsid w:val="006B5BA8"/>
    <w:rsid w:val="006C2665"/>
    <w:rsid w:val="006C3B7A"/>
    <w:rsid w:val="006C505A"/>
    <w:rsid w:val="006C762B"/>
    <w:rsid w:val="006D1D2C"/>
    <w:rsid w:val="006D24C0"/>
    <w:rsid w:val="006D4358"/>
    <w:rsid w:val="006D76BD"/>
    <w:rsid w:val="006D797D"/>
    <w:rsid w:val="006E04A6"/>
    <w:rsid w:val="006E2839"/>
    <w:rsid w:val="006E3F0A"/>
    <w:rsid w:val="006E6053"/>
    <w:rsid w:val="006E6436"/>
    <w:rsid w:val="006F0AD1"/>
    <w:rsid w:val="006F2BFC"/>
    <w:rsid w:val="006F2E55"/>
    <w:rsid w:val="006F300B"/>
    <w:rsid w:val="006F3FC3"/>
    <w:rsid w:val="006F6941"/>
    <w:rsid w:val="006F7F72"/>
    <w:rsid w:val="0070041D"/>
    <w:rsid w:val="00701073"/>
    <w:rsid w:val="0070213E"/>
    <w:rsid w:val="00703104"/>
    <w:rsid w:val="00704DC5"/>
    <w:rsid w:val="0070507A"/>
    <w:rsid w:val="007052C9"/>
    <w:rsid w:val="007062C5"/>
    <w:rsid w:val="0070635F"/>
    <w:rsid w:val="00711101"/>
    <w:rsid w:val="00711582"/>
    <w:rsid w:val="00711BBA"/>
    <w:rsid w:val="00712684"/>
    <w:rsid w:val="007139EA"/>
    <w:rsid w:val="00713C1B"/>
    <w:rsid w:val="00714546"/>
    <w:rsid w:val="00714EEC"/>
    <w:rsid w:val="00715379"/>
    <w:rsid w:val="00716224"/>
    <w:rsid w:val="00721D6F"/>
    <w:rsid w:val="007222C6"/>
    <w:rsid w:val="00722348"/>
    <w:rsid w:val="00722646"/>
    <w:rsid w:val="00723962"/>
    <w:rsid w:val="007242DB"/>
    <w:rsid w:val="00726A96"/>
    <w:rsid w:val="0073174F"/>
    <w:rsid w:val="00732187"/>
    <w:rsid w:val="0073224F"/>
    <w:rsid w:val="007336BE"/>
    <w:rsid w:val="0073423E"/>
    <w:rsid w:val="00735D59"/>
    <w:rsid w:val="00736E79"/>
    <w:rsid w:val="00737DF8"/>
    <w:rsid w:val="00737EFA"/>
    <w:rsid w:val="0074101B"/>
    <w:rsid w:val="00741AB3"/>
    <w:rsid w:val="00743114"/>
    <w:rsid w:val="00743FDB"/>
    <w:rsid w:val="007455CE"/>
    <w:rsid w:val="0074739A"/>
    <w:rsid w:val="00750723"/>
    <w:rsid w:val="00753B58"/>
    <w:rsid w:val="00753EC3"/>
    <w:rsid w:val="00757627"/>
    <w:rsid w:val="00757B46"/>
    <w:rsid w:val="00761BD4"/>
    <w:rsid w:val="007624B1"/>
    <w:rsid w:val="00767D15"/>
    <w:rsid w:val="007707AC"/>
    <w:rsid w:val="0077143E"/>
    <w:rsid w:val="007729C5"/>
    <w:rsid w:val="007732A1"/>
    <w:rsid w:val="007737D5"/>
    <w:rsid w:val="00774D84"/>
    <w:rsid w:val="0077587E"/>
    <w:rsid w:val="00776E32"/>
    <w:rsid w:val="00780747"/>
    <w:rsid w:val="00782515"/>
    <w:rsid w:val="0078520B"/>
    <w:rsid w:val="0078783E"/>
    <w:rsid w:val="00791445"/>
    <w:rsid w:val="00792492"/>
    <w:rsid w:val="00792B17"/>
    <w:rsid w:val="007937E2"/>
    <w:rsid w:val="00795273"/>
    <w:rsid w:val="00795843"/>
    <w:rsid w:val="00795C5E"/>
    <w:rsid w:val="00797C50"/>
    <w:rsid w:val="007A368A"/>
    <w:rsid w:val="007A3B64"/>
    <w:rsid w:val="007A6D2D"/>
    <w:rsid w:val="007B1E77"/>
    <w:rsid w:val="007B2DD0"/>
    <w:rsid w:val="007B55DD"/>
    <w:rsid w:val="007B5843"/>
    <w:rsid w:val="007B632E"/>
    <w:rsid w:val="007B6C3D"/>
    <w:rsid w:val="007C04E9"/>
    <w:rsid w:val="007C0EA2"/>
    <w:rsid w:val="007C24CD"/>
    <w:rsid w:val="007C533C"/>
    <w:rsid w:val="007C6364"/>
    <w:rsid w:val="007D3265"/>
    <w:rsid w:val="007D437A"/>
    <w:rsid w:val="007D6921"/>
    <w:rsid w:val="007D7821"/>
    <w:rsid w:val="007D7BE3"/>
    <w:rsid w:val="007E19EC"/>
    <w:rsid w:val="007F0F84"/>
    <w:rsid w:val="007F469F"/>
    <w:rsid w:val="007F664D"/>
    <w:rsid w:val="00802B1C"/>
    <w:rsid w:val="0080582B"/>
    <w:rsid w:val="00805C1D"/>
    <w:rsid w:val="00813322"/>
    <w:rsid w:val="008141F7"/>
    <w:rsid w:val="008150CA"/>
    <w:rsid w:val="00817433"/>
    <w:rsid w:val="00817A9D"/>
    <w:rsid w:val="0082009F"/>
    <w:rsid w:val="00821436"/>
    <w:rsid w:val="0082181D"/>
    <w:rsid w:val="008220CF"/>
    <w:rsid w:val="008229D3"/>
    <w:rsid w:val="00822EB7"/>
    <w:rsid w:val="00823236"/>
    <w:rsid w:val="00824397"/>
    <w:rsid w:val="00825D93"/>
    <w:rsid w:val="00832DA5"/>
    <w:rsid w:val="00834912"/>
    <w:rsid w:val="00835637"/>
    <w:rsid w:val="008356B2"/>
    <w:rsid w:val="00835FAF"/>
    <w:rsid w:val="00836E4C"/>
    <w:rsid w:val="00840DF8"/>
    <w:rsid w:val="0084279D"/>
    <w:rsid w:val="00843091"/>
    <w:rsid w:val="00844021"/>
    <w:rsid w:val="00844A6C"/>
    <w:rsid w:val="00846933"/>
    <w:rsid w:val="00846D4D"/>
    <w:rsid w:val="00847095"/>
    <w:rsid w:val="00847670"/>
    <w:rsid w:val="008511A4"/>
    <w:rsid w:val="008514B0"/>
    <w:rsid w:val="00853BCC"/>
    <w:rsid w:val="008562DC"/>
    <w:rsid w:val="0085737C"/>
    <w:rsid w:val="00860297"/>
    <w:rsid w:val="00860DC0"/>
    <w:rsid w:val="00863682"/>
    <w:rsid w:val="00863BB6"/>
    <w:rsid w:val="008667C2"/>
    <w:rsid w:val="00867694"/>
    <w:rsid w:val="00867896"/>
    <w:rsid w:val="008721FF"/>
    <w:rsid w:val="008725ED"/>
    <w:rsid w:val="00873F37"/>
    <w:rsid w:val="00874106"/>
    <w:rsid w:val="00874D47"/>
    <w:rsid w:val="0087561C"/>
    <w:rsid w:val="00875F77"/>
    <w:rsid w:val="008772AB"/>
    <w:rsid w:val="00881184"/>
    <w:rsid w:val="00881BA0"/>
    <w:rsid w:val="008876AC"/>
    <w:rsid w:val="00890CF1"/>
    <w:rsid w:val="00891093"/>
    <w:rsid w:val="0089176E"/>
    <w:rsid w:val="00892025"/>
    <w:rsid w:val="00894219"/>
    <w:rsid w:val="00895FA8"/>
    <w:rsid w:val="00896190"/>
    <w:rsid w:val="008A2A59"/>
    <w:rsid w:val="008A4353"/>
    <w:rsid w:val="008B525B"/>
    <w:rsid w:val="008B722C"/>
    <w:rsid w:val="008C0E19"/>
    <w:rsid w:val="008C1915"/>
    <w:rsid w:val="008C52F4"/>
    <w:rsid w:val="008C63C1"/>
    <w:rsid w:val="008C71AD"/>
    <w:rsid w:val="008D35C1"/>
    <w:rsid w:val="008D400E"/>
    <w:rsid w:val="008D4E74"/>
    <w:rsid w:val="008D63C2"/>
    <w:rsid w:val="008D722B"/>
    <w:rsid w:val="008E0877"/>
    <w:rsid w:val="008E1055"/>
    <w:rsid w:val="008E34A7"/>
    <w:rsid w:val="008E3619"/>
    <w:rsid w:val="008E3978"/>
    <w:rsid w:val="008E3B45"/>
    <w:rsid w:val="008E4073"/>
    <w:rsid w:val="008F042C"/>
    <w:rsid w:val="008F4ACC"/>
    <w:rsid w:val="008F5022"/>
    <w:rsid w:val="008F57C8"/>
    <w:rsid w:val="0090210D"/>
    <w:rsid w:val="009021AD"/>
    <w:rsid w:val="009051E5"/>
    <w:rsid w:val="00905747"/>
    <w:rsid w:val="00906554"/>
    <w:rsid w:val="00911A1D"/>
    <w:rsid w:val="0091364A"/>
    <w:rsid w:val="0091654C"/>
    <w:rsid w:val="00917F3D"/>
    <w:rsid w:val="00920399"/>
    <w:rsid w:val="0092222F"/>
    <w:rsid w:val="0093016D"/>
    <w:rsid w:val="009338B0"/>
    <w:rsid w:val="009345D7"/>
    <w:rsid w:val="0093610A"/>
    <w:rsid w:val="00937407"/>
    <w:rsid w:val="00937AF5"/>
    <w:rsid w:val="00945356"/>
    <w:rsid w:val="009468D1"/>
    <w:rsid w:val="00947A58"/>
    <w:rsid w:val="00951DE6"/>
    <w:rsid w:val="00955E89"/>
    <w:rsid w:val="0095793A"/>
    <w:rsid w:val="00957C36"/>
    <w:rsid w:val="00957D8E"/>
    <w:rsid w:val="00957F5C"/>
    <w:rsid w:val="00963D5E"/>
    <w:rsid w:val="00966C7C"/>
    <w:rsid w:val="00967511"/>
    <w:rsid w:val="00970DBF"/>
    <w:rsid w:val="00971C93"/>
    <w:rsid w:val="00972BF0"/>
    <w:rsid w:val="009732D8"/>
    <w:rsid w:val="00974038"/>
    <w:rsid w:val="009740CF"/>
    <w:rsid w:val="00977562"/>
    <w:rsid w:val="00981452"/>
    <w:rsid w:val="00981717"/>
    <w:rsid w:val="00983D1D"/>
    <w:rsid w:val="00984DCE"/>
    <w:rsid w:val="00986FF3"/>
    <w:rsid w:val="00987C45"/>
    <w:rsid w:val="00990464"/>
    <w:rsid w:val="00990B28"/>
    <w:rsid w:val="009931BF"/>
    <w:rsid w:val="00996A8E"/>
    <w:rsid w:val="009A10D8"/>
    <w:rsid w:val="009A1B4F"/>
    <w:rsid w:val="009A1CD2"/>
    <w:rsid w:val="009A2157"/>
    <w:rsid w:val="009A4366"/>
    <w:rsid w:val="009A5C66"/>
    <w:rsid w:val="009A5E84"/>
    <w:rsid w:val="009A6116"/>
    <w:rsid w:val="009A61F1"/>
    <w:rsid w:val="009A6482"/>
    <w:rsid w:val="009A7623"/>
    <w:rsid w:val="009B052C"/>
    <w:rsid w:val="009B122E"/>
    <w:rsid w:val="009B1D22"/>
    <w:rsid w:val="009B2728"/>
    <w:rsid w:val="009B3207"/>
    <w:rsid w:val="009B5C70"/>
    <w:rsid w:val="009B61F6"/>
    <w:rsid w:val="009B7A11"/>
    <w:rsid w:val="009C596D"/>
    <w:rsid w:val="009C666C"/>
    <w:rsid w:val="009C6A60"/>
    <w:rsid w:val="009C6D75"/>
    <w:rsid w:val="009C7D76"/>
    <w:rsid w:val="009D0D53"/>
    <w:rsid w:val="009D3860"/>
    <w:rsid w:val="009D3BB6"/>
    <w:rsid w:val="009D4258"/>
    <w:rsid w:val="009D6254"/>
    <w:rsid w:val="009D7A83"/>
    <w:rsid w:val="009E1023"/>
    <w:rsid w:val="009E198F"/>
    <w:rsid w:val="009E1AEE"/>
    <w:rsid w:val="009E1D89"/>
    <w:rsid w:val="009E3B06"/>
    <w:rsid w:val="009E4672"/>
    <w:rsid w:val="009E4C0D"/>
    <w:rsid w:val="009E5FF8"/>
    <w:rsid w:val="009E6027"/>
    <w:rsid w:val="009E72C5"/>
    <w:rsid w:val="009E7357"/>
    <w:rsid w:val="009E76D6"/>
    <w:rsid w:val="009E7B3D"/>
    <w:rsid w:val="009F083F"/>
    <w:rsid w:val="009F3ECB"/>
    <w:rsid w:val="009F42D2"/>
    <w:rsid w:val="009F5E12"/>
    <w:rsid w:val="00A00F24"/>
    <w:rsid w:val="00A011EF"/>
    <w:rsid w:val="00A01921"/>
    <w:rsid w:val="00A050F8"/>
    <w:rsid w:val="00A0548B"/>
    <w:rsid w:val="00A10B53"/>
    <w:rsid w:val="00A1110D"/>
    <w:rsid w:val="00A14672"/>
    <w:rsid w:val="00A21698"/>
    <w:rsid w:val="00A21762"/>
    <w:rsid w:val="00A21940"/>
    <w:rsid w:val="00A220D5"/>
    <w:rsid w:val="00A222AD"/>
    <w:rsid w:val="00A22CA0"/>
    <w:rsid w:val="00A23D91"/>
    <w:rsid w:val="00A243FE"/>
    <w:rsid w:val="00A2443A"/>
    <w:rsid w:val="00A26B7B"/>
    <w:rsid w:val="00A279CC"/>
    <w:rsid w:val="00A3012E"/>
    <w:rsid w:val="00A30741"/>
    <w:rsid w:val="00A30F1D"/>
    <w:rsid w:val="00A31B2E"/>
    <w:rsid w:val="00A32FD6"/>
    <w:rsid w:val="00A332A6"/>
    <w:rsid w:val="00A34CC7"/>
    <w:rsid w:val="00A35EC4"/>
    <w:rsid w:val="00A377B2"/>
    <w:rsid w:val="00A428DA"/>
    <w:rsid w:val="00A42FF2"/>
    <w:rsid w:val="00A43FBE"/>
    <w:rsid w:val="00A44CC5"/>
    <w:rsid w:val="00A44EB3"/>
    <w:rsid w:val="00A47981"/>
    <w:rsid w:val="00A479C1"/>
    <w:rsid w:val="00A51AFC"/>
    <w:rsid w:val="00A536E4"/>
    <w:rsid w:val="00A5581D"/>
    <w:rsid w:val="00A55CE6"/>
    <w:rsid w:val="00A5657C"/>
    <w:rsid w:val="00A57E1F"/>
    <w:rsid w:val="00A60426"/>
    <w:rsid w:val="00A62E69"/>
    <w:rsid w:val="00A64FCE"/>
    <w:rsid w:val="00A67323"/>
    <w:rsid w:val="00A7105C"/>
    <w:rsid w:val="00A80058"/>
    <w:rsid w:val="00A840B6"/>
    <w:rsid w:val="00A90AC8"/>
    <w:rsid w:val="00A91512"/>
    <w:rsid w:val="00A91F93"/>
    <w:rsid w:val="00A94228"/>
    <w:rsid w:val="00A94AE4"/>
    <w:rsid w:val="00A97BFD"/>
    <w:rsid w:val="00AA2126"/>
    <w:rsid w:val="00AA4A96"/>
    <w:rsid w:val="00AA586B"/>
    <w:rsid w:val="00AB0F5A"/>
    <w:rsid w:val="00AB102A"/>
    <w:rsid w:val="00AB3779"/>
    <w:rsid w:val="00AB5523"/>
    <w:rsid w:val="00AB5F80"/>
    <w:rsid w:val="00AC2A00"/>
    <w:rsid w:val="00AC2A57"/>
    <w:rsid w:val="00AC2E83"/>
    <w:rsid w:val="00AD0677"/>
    <w:rsid w:val="00AD0CBC"/>
    <w:rsid w:val="00AD7765"/>
    <w:rsid w:val="00AE3904"/>
    <w:rsid w:val="00AE5522"/>
    <w:rsid w:val="00AE7620"/>
    <w:rsid w:val="00AE7AE2"/>
    <w:rsid w:val="00AE7BA6"/>
    <w:rsid w:val="00AE7E22"/>
    <w:rsid w:val="00AF1AFA"/>
    <w:rsid w:val="00AF2681"/>
    <w:rsid w:val="00AF3EAF"/>
    <w:rsid w:val="00AF6131"/>
    <w:rsid w:val="00AF7D51"/>
    <w:rsid w:val="00B00B38"/>
    <w:rsid w:val="00B056F5"/>
    <w:rsid w:val="00B1334E"/>
    <w:rsid w:val="00B134F1"/>
    <w:rsid w:val="00B1499F"/>
    <w:rsid w:val="00B14A49"/>
    <w:rsid w:val="00B14CFE"/>
    <w:rsid w:val="00B150DE"/>
    <w:rsid w:val="00B153E7"/>
    <w:rsid w:val="00B15AE7"/>
    <w:rsid w:val="00B16878"/>
    <w:rsid w:val="00B24BBC"/>
    <w:rsid w:val="00B25246"/>
    <w:rsid w:val="00B26730"/>
    <w:rsid w:val="00B26B78"/>
    <w:rsid w:val="00B26D06"/>
    <w:rsid w:val="00B27905"/>
    <w:rsid w:val="00B30BA0"/>
    <w:rsid w:val="00B31A1C"/>
    <w:rsid w:val="00B321A4"/>
    <w:rsid w:val="00B32343"/>
    <w:rsid w:val="00B34772"/>
    <w:rsid w:val="00B367A6"/>
    <w:rsid w:val="00B410C6"/>
    <w:rsid w:val="00B42336"/>
    <w:rsid w:val="00B42F6E"/>
    <w:rsid w:val="00B45E81"/>
    <w:rsid w:val="00B50CF7"/>
    <w:rsid w:val="00B52532"/>
    <w:rsid w:val="00B53F51"/>
    <w:rsid w:val="00B5422B"/>
    <w:rsid w:val="00B5464F"/>
    <w:rsid w:val="00B55465"/>
    <w:rsid w:val="00B5605F"/>
    <w:rsid w:val="00B5617E"/>
    <w:rsid w:val="00B5781C"/>
    <w:rsid w:val="00B616D0"/>
    <w:rsid w:val="00B61E7E"/>
    <w:rsid w:val="00B62C6F"/>
    <w:rsid w:val="00B6676F"/>
    <w:rsid w:val="00B66FE9"/>
    <w:rsid w:val="00B7450B"/>
    <w:rsid w:val="00B76E31"/>
    <w:rsid w:val="00B7753E"/>
    <w:rsid w:val="00B77F6C"/>
    <w:rsid w:val="00B82D1D"/>
    <w:rsid w:val="00B82E44"/>
    <w:rsid w:val="00B83305"/>
    <w:rsid w:val="00B848E6"/>
    <w:rsid w:val="00B86B3A"/>
    <w:rsid w:val="00B90313"/>
    <w:rsid w:val="00B93FBB"/>
    <w:rsid w:val="00B9479E"/>
    <w:rsid w:val="00B95381"/>
    <w:rsid w:val="00B95C3A"/>
    <w:rsid w:val="00B96D2B"/>
    <w:rsid w:val="00B97440"/>
    <w:rsid w:val="00BA201E"/>
    <w:rsid w:val="00BA31C8"/>
    <w:rsid w:val="00BA3875"/>
    <w:rsid w:val="00BA4415"/>
    <w:rsid w:val="00BA52A8"/>
    <w:rsid w:val="00BA6F70"/>
    <w:rsid w:val="00BB10BF"/>
    <w:rsid w:val="00BB5D31"/>
    <w:rsid w:val="00BC40D9"/>
    <w:rsid w:val="00BC60C0"/>
    <w:rsid w:val="00BD45FF"/>
    <w:rsid w:val="00BD4968"/>
    <w:rsid w:val="00BD5FDF"/>
    <w:rsid w:val="00BD7585"/>
    <w:rsid w:val="00BD7953"/>
    <w:rsid w:val="00BE229D"/>
    <w:rsid w:val="00BE241B"/>
    <w:rsid w:val="00BE4AC7"/>
    <w:rsid w:val="00BE51F0"/>
    <w:rsid w:val="00BE578B"/>
    <w:rsid w:val="00BE59E0"/>
    <w:rsid w:val="00BE5C4A"/>
    <w:rsid w:val="00BF143C"/>
    <w:rsid w:val="00BF1963"/>
    <w:rsid w:val="00BF1E1F"/>
    <w:rsid w:val="00BF2C35"/>
    <w:rsid w:val="00BF2DC8"/>
    <w:rsid w:val="00C0055B"/>
    <w:rsid w:val="00C02968"/>
    <w:rsid w:val="00C03420"/>
    <w:rsid w:val="00C03ABE"/>
    <w:rsid w:val="00C0551A"/>
    <w:rsid w:val="00C0638E"/>
    <w:rsid w:val="00C07B6E"/>
    <w:rsid w:val="00C10A33"/>
    <w:rsid w:val="00C11317"/>
    <w:rsid w:val="00C115A4"/>
    <w:rsid w:val="00C14BEB"/>
    <w:rsid w:val="00C1516D"/>
    <w:rsid w:val="00C15AB8"/>
    <w:rsid w:val="00C15C23"/>
    <w:rsid w:val="00C16F04"/>
    <w:rsid w:val="00C20F67"/>
    <w:rsid w:val="00C230C8"/>
    <w:rsid w:val="00C230D7"/>
    <w:rsid w:val="00C2676F"/>
    <w:rsid w:val="00C26BE9"/>
    <w:rsid w:val="00C30809"/>
    <w:rsid w:val="00C3389D"/>
    <w:rsid w:val="00C339ED"/>
    <w:rsid w:val="00C35B8E"/>
    <w:rsid w:val="00C36148"/>
    <w:rsid w:val="00C40D60"/>
    <w:rsid w:val="00C42AB9"/>
    <w:rsid w:val="00C50A91"/>
    <w:rsid w:val="00C51A69"/>
    <w:rsid w:val="00C53901"/>
    <w:rsid w:val="00C53FFE"/>
    <w:rsid w:val="00C55496"/>
    <w:rsid w:val="00C56094"/>
    <w:rsid w:val="00C61BB8"/>
    <w:rsid w:val="00C637D4"/>
    <w:rsid w:val="00C66E71"/>
    <w:rsid w:val="00C66FEC"/>
    <w:rsid w:val="00C673AD"/>
    <w:rsid w:val="00C724AD"/>
    <w:rsid w:val="00C7364E"/>
    <w:rsid w:val="00C7454F"/>
    <w:rsid w:val="00C76F4E"/>
    <w:rsid w:val="00C80AA1"/>
    <w:rsid w:val="00C83223"/>
    <w:rsid w:val="00C83BA3"/>
    <w:rsid w:val="00C858C6"/>
    <w:rsid w:val="00C858F3"/>
    <w:rsid w:val="00C85C70"/>
    <w:rsid w:val="00C90C4D"/>
    <w:rsid w:val="00C91FDA"/>
    <w:rsid w:val="00C920F9"/>
    <w:rsid w:val="00C9292E"/>
    <w:rsid w:val="00C92A51"/>
    <w:rsid w:val="00C9671F"/>
    <w:rsid w:val="00C97081"/>
    <w:rsid w:val="00C9737B"/>
    <w:rsid w:val="00CA50AA"/>
    <w:rsid w:val="00CA560D"/>
    <w:rsid w:val="00CA59CF"/>
    <w:rsid w:val="00CB2F79"/>
    <w:rsid w:val="00CB30D6"/>
    <w:rsid w:val="00CB3434"/>
    <w:rsid w:val="00CB372D"/>
    <w:rsid w:val="00CB3823"/>
    <w:rsid w:val="00CC1056"/>
    <w:rsid w:val="00CC4B7B"/>
    <w:rsid w:val="00CC536D"/>
    <w:rsid w:val="00CC639C"/>
    <w:rsid w:val="00CC7CCC"/>
    <w:rsid w:val="00CD278B"/>
    <w:rsid w:val="00CD7327"/>
    <w:rsid w:val="00CD7923"/>
    <w:rsid w:val="00CE1136"/>
    <w:rsid w:val="00CE1A60"/>
    <w:rsid w:val="00CE2A1D"/>
    <w:rsid w:val="00CE2B32"/>
    <w:rsid w:val="00CE4AAF"/>
    <w:rsid w:val="00CE4B8B"/>
    <w:rsid w:val="00CE5917"/>
    <w:rsid w:val="00CE5EBD"/>
    <w:rsid w:val="00CE619A"/>
    <w:rsid w:val="00CE6FE5"/>
    <w:rsid w:val="00CF3DE5"/>
    <w:rsid w:val="00CF6CD2"/>
    <w:rsid w:val="00CF73F1"/>
    <w:rsid w:val="00D01271"/>
    <w:rsid w:val="00D01718"/>
    <w:rsid w:val="00D01CC4"/>
    <w:rsid w:val="00D020BC"/>
    <w:rsid w:val="00D03891"/>
    <w:rsid w:val="00D047D5"/>
    <w:rsid w:val="00D049B2"/>
    <w:rsid w:val="00D0566B"/>
    <w:rsid w:val="00D06778"/>
    <w:rsid w:val="00D078A2"/>
    <w:rsid w:val="00D128B0"/>
    <w:rsid w:val="00D12EF0"/>
    <w:rsid w:val="00D12F3D"/>
    <w:rsid w:val="00D1354A"/>
    <w:rsid w:val="00D155A2"/>
    <w:rsid w:val="00D160F4"/>
    <w:rsid w:val="00D1645B"/>
    <w:rsid w:val="00D262CA"/>
    <w:rsid w:val="00D31118"/>
    <w:rsid w:val="00D3140D"/>
    <w:rsid w:val="00D32FE5"/>
    <w:rsid w:val="00D36B2F"/>
    <w:rsid w:val="00D41691"/>
    <w:rsid w:val="00D41A74"/>
    <w:rsid w:val="00D45014"/>
    <w:rsid w:val="00D45413"/>
    <w:rsid w:val="00D455B9"/>
    <w:rsid w:val="00D47141"/>
    <w:rsid w:val="00D477F3"/>
    <w:rsid w:val="00D513AE"/>
    <w:rsid w:val="00D5249B"/>
    <w:rsid w:val="00D52FCC"/>
    <w:rsid w:val="00D5489C"/>
    <w:rsid w:val="00D556AD"/>
    <w:rsid w:val="00D60291"/>
    <w:rsid w:val="00D6317B"/>
    <w:rsid w:val="00D64641"/>
    <w:rsid w:val="00D71907"/>
    <w:rsid w:val="00D72F1D"/>
    <w:rsid w:val="00D75070"/>
    <w:rsid w:val="00D75E96"/>
    <w:rsid w:val="00D822F4"/>
    <w:rsid w:val="00D82EE6"/>
    <w:rsid w:val="00D833AA"/>
    <w:rsid w:val="00D87390"/>
    <w:rsid w:val="00D930D3"/>
    <w:rsid w:val="00DA18EE"/>
    <w:rsid w:val="00DA1A23"/>
    <w:rsid w:val="00DA2F40"/>
    <w:rsid w:val="00DA40EF"/>
    <w:rsid w:val="00DA4DDE"/>
    <w:rsid w:val="00DA77F8"/>
    <w:rsid w:val="00DB35E9"/>
    <w:rsid w:val="00DB37FC"/>
    <w:rsid w:val="00DB3CEC"/>
    <w:rsid w:val="00DB5EA8"/>
    <w:rsid w:val="00DB6C01"/>
    <w:rsid w:val="00DB72E7"/>
    <w:rsid w:val="00DC3B0F"/>
    <w:rsid w:val="00DC74BD"/>
    <w:rsid w:val="00DC7BC8"/>
    <w:rsid w:val="00DD3DAD"/>
    <w:rsid w:val="00DD5393"/>
    <w:rsid w:val="00DD649F"/>
    <w:rsid w:val="00DD7060"/>
    <w:rsid w:val="00DD7726"/>
    <w:rsid w:val="00DE22E1"/>
    <w:rsid w:val="00DE3077"/>
    <w:rsid w:val="00DE4CA5"/>
    <w:rsid w:val="00DE611D"/>
    <w:rsid w:val="00DE6AA5"/>
    <w:rsid w:val="00DE7B06"/>
    <w:rsid w:val="00DE7E3A"/>
    <w:rsid w:val="00DF1098"/>
    <w:rsid w:val="00DF1918"/>
    <w:rsid w:val="00DF4696"/>
    <w:rsid w:val="00DF4F40"/>
    <w:rsid w:val="00DF51BC"/>
    <w:rsid w:val="00DF70FC"/>
    <w:rsid w:val="00E036E0"/>
    <w:rsid w:val="00E070EA"/>
    <w:rsid w:val="00E10C59"/>
    <w:rsid w:val="00E10DD3"/>
    <w:rsid w:val="00E119E0"/>
    <w:rsid w:val="00E11EA3"/>
    <w:rsid w:val="00E11EC5"/>
    <w:rsid w:val="00E12759"/>
    <w:rsid w:val="00E1379D"/>
    <w:rsid w:val="00E15937"/>
    <w:rsid w:val="00E217E9"/>
    <w:rsid w:val="00E22647"/>
    <w:rsid w:val="00E226C2"/>
    <w:rsid w:val="00E230B4"/>
    <w:rsid w:val="00E24739"/>
    <w:rsid w:val="00E25262"/>
    <w:rsid w:val="00E25CAE"/>
    <w:rsid w:val="00E265DF"/>
    <w:rsid w:val="00E2666D"/>
    <w:rsid w:val="00E27E92"/>
    <w:rsid w:val="00E3082D"/>
    <w:rsid w:val="00E30D60"/>
    <w:rsid w:val="00E33F27"/>
    <w:rsid w:val="00E34500"/>
    <w:rsid w:val="00E35217"/>
    <w:rsid w:val="00E36878"/>
    <w:rsid w:val="00E37B56"/>
    <w:rsid w:val="00E401F1"/>
    <w:rsid w:val="00E413ED"/>
    <w:rsid w:val="00E4169F"/>
    <w:rsid w:val="00E43D4A"/>
    <w:rsid w:val="00E44255"/>
    <w:rsid w:val="00E45A68"/>
    <w:rsid w:val="00E500AE"/>
    <w:rsid w:val="00E50A3E"/>
    <w:rsid w:val="00E51D9F"/>
    <w:rsid w:val="00E52769"/>
    <w:rsid w:val="00E532C5"/>
    <w:rsid w:val="00E55A0B"/>
    <w:rsid w:val="00E621CF"/>
    <w:rsid w:val="00E64534"/>
    <w:rsid w:val="00E656AE"/>
    <w:rsid w:val="00E677A3"/>
    <w:rsid w:val="00E67F8D"/>
    <w:rsid w:val="00E7328C"/>
    <w:rsid w:val="00E736C3"/>
    <w:rsid w:val="00E748EF"/>
    <w:rsid w:val="00E7612A"/>
    <w:rsid w:val="00E77DD1"/>
    <w:rsid w:val="00E80CDB"/>
    <w:rsid w:val="00E83210"/>
    <w:rsid w:val="00E8383F"/>
    <w:rsid w:val="00E8693A"/>
    <w:rsid w:val="00E87B70"/>
    <w:rsid w:val="00E90768"/>
    <w:rsid w:val="00E90F8B"/>
    <w:rsid w:val="00E923EB"/>
    <w:rsid w:val="00E933C9"/>
    <w:rsid w:val="00E93C91"/>
    <w:rsid w:val="00E946FA"/>
    <w:rsid w:val="00E951D2"/>
    <w:rsid w:val="00E95D29"/>
    <w:rsid w:val="00E96B6D"/>
    <w:rsid w:val="00EA0FB5"/>
    <w:rsid w:val="00EA1AFB"/>
    <w:rsid w:val="00EA1E03"/>
    <w:rsid w:val="00EA1EEC"/>
    <w:rsid w:val="00EA3E97"/>
    <w:rsid w:val="00EA42D5"/>
    <w:rsid w:val="00EA580A"/>
    <w:rsid w:val="00EA7280"/>
    <w:rsid w:val="00EB1E01"/>
    <w:rsid w:val="00EB2065"/>
    <w:rsid w:val="00EB25EE"/>
    <w:rsid w:val="00EB29F1"/>
    <w:rsid w:val="00EB374D"/>
    <w:rsid w:val="00EB3D95"/>
    <w:rsid w:val="00EB4EBE"/>
    <w:rsid w:val="00EC520D"/>
    <w:rsid w:val="00EC6539"/>
    <w:rsid w:val="00EC6839"/>
    <w:rsid w:val="00EC69F1"/>
    <w:rsid w:val="00EC7099"/>
    <w:rsid w:val="00EC7204"/>
    <w:rsid w:val="00ED2A91"/>
    <w:rsid w:val="00ED5435"/>
    <w:rsid w:val="00EE09A3"/>
    <w:rsid w:val="00EE15B4"/>
    <w:rsid w:val="00EE2280"/>
    <w:rsid w:val="00EE2EC6"/>
    <w:rsid w:val="00EE2FE1"/>
    <w:rsid w:val="00EE47DE"/>
    <w:rsid w:val="00EE4C58"/>
    <w:rsid w:val="00EE5374"/>
    <w:rsid w:val="00EE61F7"/>
    <w:rsid w:val="00EE6BDE"/>
    <w:rsid w:val="00EE77E7"/>
    <w:rsid w:val="00EF28C1"/>
    <w:rsid w:val="00EF2CD8"/>
    <w:rsid w:val="00EF33F8"/>
    <w:rsid w:val="00EF3956"/>
    <w:rsid w:val="00EF4C1D"/>
    <w:rsid w:val="00EF5550"/>
    <w:rsid w:val="00EF5A56"/>
    <w:rsid w:val="00F01CB0"/>
    <w:rsid w:val="00F05F36"/>
    <w:rsid w:val="00F11494"/>
    <w:rsid w:val="00F12253"/>
    <w:rsid w:val="00F13513"/>
    <w:rsid w:val="00F1441E"/>
    <w:rsid w:val="00F1542F"/>
    <w:rsid w:val="00F16347"/>
    <w:rsid w:val="00F17B26"/>
    <w:rsid w:val="00F212A2"/>
    <w:rsid w:val="00F21EFA"/>
    <w:rsid w:val="00F2294F"/>
    <w:rsid w:val="00F22FFF"/>
    <w:rsid w:val="00F2309C"/>
    <w:rsid w:val="00F230D1"/>
    <w:rsid w:val="00F23A46"/>
    <w:rsid w:val="00F2554C"/>
    <w:rsid w:val="00F26C63"/>
    <w:rsid w:val="00F27C45"/>
    <w:rsid w:val="00F3446C"/>
    <w:rsid w:val="00F3511C"/>
    <w:rsid w:val="00F358D0"/>
    <w:rsid w:val="00F371A9"/>
    <w:rsid w:val="00F373E8"/>
    <w:rsid w:val="00F374A8"/>
    <w:rsid w:val="00F37F34"/>
    <w:rsid w:val="00F43801"/>
    <w:rsid w:val="00F43F56"/>
    <w:rsid w:val="00F45D9D"/>
    <w:rsid w:val="00F46339"/>
    <w:rsid w:val="00F469D5"/>
    <w:rsid w:val="00F47BD2"/>
    <w:rsid w:val="00F501AF"/>
    <w:rsid w:val="00F5137B"/>
    <w:rsid w:val="00F51459"/>
    <w:rsid w:val="00F52FA0"/>
    <w:rsid w:val="00F55CFC"/>
    <w:rsid w:val="00F601A5"/>
    <w:rsid w:val="00F60FD4"/>
    <w:rsid w:val="00F62D1E"/>
    <w:rsid w:val="00F70D17"/>
    <w:rsid w:val="00F719D0"/>
    <w:rsid w:val="00F73109"/>
    <w:rsid w:val="00F740B5"/>
    <w:rsid w:val="00F75438"/>
    <w:rsid w:val="00F7617F"/>
    <w:rsid w:val="00F802F9"/>
    <w:rsid w:val="00F80479"/>
    <w:rsid w:val="00F815BB"/>
    <w:rsid w:val="00F8160D"/>
    <w:rsid w:val="00F820FD"/>
    <w:rsid w:val="00F847E8"/>
    <w:rsid w:val="00F8676E"/>
    <w:rsid w:val="00F87E34"/>
    <w:rsid w:val="00F91453"/>
    <w:rsid w:val="00F9261F"/>
    <w:rsid w:val="00F92770"/>
    <w:rsid w:val="00F931EB"/>
    <w:rsid w:val="00F94037"/>
    <w:rsid w:val="00F95526"/>
    <w:rsid w:val="00F95C53"/>
    <w:rsid w:val="00F95EAD"/>
    <w:rsid w:val="00F96E8F"/>
    <w:rsid w:val="00FA0157"/>
    <w:rsid w:val="00FA1642"/>
    <w:rsid w:val="00FA1D3E"/>
    <w:rsid w:val="00FA2859"/>
    <w:rsid w:val="00FA2BAB"/>
    <w:rsid w:val="00FA2EB9"/>
    <w:rsid w:val="00FA4570"/>
    <w:rsid w:val="00FA5979"/>
    <w:rsid w:val="00FB246B"/>
    <w:rsid w:val="00FB6864"/>
    <w:rsid w:val="00FC04D2"/>
    <w:rsid w:val="00FC06D9"/>
    <w:rsid w:val="00FC360F"/>
    <w:rsid w:val="00FC391C"/>
    <w:rsid w:val="00FC4174"/>
    <w:rsid w:val="00FC52E3"/>
    <w:rsid w:val="00FC561E"/>
    <w:rsid w:val="00FC6A46"/>
    <w:rsid w:val="00FC7451"/>
    <w:rsid w:val="00FD10C7"/>
    <w:rsid w:val="00FD196E"/>
    <w:rsid w:val="00FD2B86"/>
    <w:rsid w:val="00FD2D07"/>
    <w:rsid w:val="00FD525C"/>
    <w:rsid w:val="00FD6C04"/>
    <w:rsid w:val="00FD74CF"/>
    <w:rsid w:val="00FD7BD0"/>
    <w:rsid w:val="00FE2A7F"/>
    <w:rsid w:val="00FE4290"/>
    <w:rsid w:val="00FE4B69"/>
    <w:rsid w:val="00FE561A"/>
    <w:rsid w:val="00FE56AD"/>
    <w:rsid w:val="00FE7AD9"/>
    <w:rsid w:val="00FF211A"/>
    <w:rsid w:val="00FF21C1"/>
    <w:rsid w:val="00FF3D54"/>
    <w:rsid w:val="00FF635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2F9"/>
    <w:rPr>
      <w:rFonts w:ascii="Arial" w:eastAsia="Times New Roman" w:hAnsi="Arial"/>
      <w:sz w:val="22"/>
      <w:szCs w:val="22"/>
    </w:rPr>
  </w:style>
  <w:style w:type="paragraph" w:styleId="Heading1">
    <w:name w:val="heading 1"/>
    <w:basedOn w:val="Normal"/>
    <w:next w:val="Normal"/>
    <w:link w:val="Heading1Char"/>
    <w:qFormat/>
    <w:rsid w:val="00503194"/>
    <w:pPr>
      <w:keepNext/>
      <w:tabs>
        <w:tab w:val="left" w:pos="720"/>
        <w:tab w:val="left" w:pos="1080"/>
        <w:tab w:val="left" w:pos="1800"/>
        <w:tab w:val="left" w:pos="5400"/>
      </w:tabs>
      <w:jc w:val="center"/>
      <w:outlineLvl w:val="0"/>
    </w:pPr>
    <w:rPr>
      <w:rFonts w:cs="Arial"/>
      <w:b/>
      <w:bCs/>
      <w:sz w:val="24"/>
      <w:szCs w:val="24"/>
    </w:rPr>
  </w:style>
  <w:style w:type="paragraph" w:styleId="Heading2">
    <w:name w:val="heading 2"/>
    <w:basedOn w:val="Normal"/>
    <w:next w:val="Normal"/>
    <w:link w:val="Heading2Char"/>
    <w:qFormat/>
    <w:rsid w:val="00503194"/>
    <w:pPr>
      <w:keepNext/>
      <w:tabs>
        <w:tab w:val="left" w:pos="720"/>
        <w:tab w:val="left" w:pos="1080"/>
        <w:tab w:val="left" w:pos="1440"/>
        <w:tab w:val="left" w:pos="1800"/>
        <w:tab w:val="left" w:pos="5400"/>
        <w:tab w:val="left" w:pos="5760"/>
        <w:tab w:val="left" w:pos="6120"/>
      </w:tabs>
      <w:ind w:left="720"/>
      <w:jc w:val="center"/>
      <w:outlineLvl w:val="1"/>
    </w:pPr>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C3D"/>
    <w:rPr>
      <w:rFonts w:ascii="Tahoma" w:hAnsi="Tahoma" w:cs="Tahoma"/>
      <w:sz w:val="16"/>
      <w:szCs w:val="16"/>
    </w:rPr>
  </w:style>
  <w:style w:type="character" w:customStyle="1" w:styleId="BalloonTextChar">
    <w:name w:val="Balloon Text Char"/>
    <w:basedOn w:val="DefaultParagraphFont"/>
    <w:link w:val="BalloonText"/>
    <w:uiPriority w:val="99"/>
    <w:semiHidden/>
    <w:rsid w:val="007B6C3D"/>
    <w:rPr>
      <w:rFonts w:ascii="Tahoma" w:hAnsi="Tahoma" w:cs="Tahoma"/>
      <w:sz w:val="16"/>
      <w:szCs w:val="16"/>
    </w:rPr>
  </w:style>
  <w:style w:type="paragraph" w:styleId="Header">
    <w:name w:val="header"/>
    <w:basedOn w:val="Normal"/>
    <w:link w:val="HeaderChar"/>
    <w:uiPriority w:val="99"/>
    <w:unhideWhenUsed/>
    <w:rsid w:val="000E768C"/>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sid w:val="000E768C"/>
  </w:style>
  <w:style w:type="paragraph" w:styleId="Footer">
    <w:name w:val="footer"/>
    <w:basedOn w:val="Normal"/>
    <w:link w:val="FooterChar"/>
    <w:uiPriority w:val="99"/>
    <w:unhideWhenUsed/>
    <w:rsid w:val="000E768C"/>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sid w:val="000E768C"/>
  </w:style>
  <w:style w:type="character" w:styleId="Hyperlink">
    <w:name w:val="Hyperlink"/>
    <w:basedOn w:val="DefaultParagraphFont"/>
    <w:uiPriority w:val="99"/>
    <w:unhideWhenUsed/>
    <w:rsid w:val="00B77F6C"/>
    <w:rPr>
      <w:color w:val="0000FF"/>
      <w:u w:val="single"/>
    </w:rPr>
  </w:style>
  <w:style w:type="character" w:customStyle="1" w:styleId="Heading1Char">
    <w:name w:val="Heading 1 Char"/>
    <w:basedOn w:val="DefaultParagraphFont"/>
    <w:link w:val="Heading1"/>
    <w:rsid w:val="00503194"/>
    <w:rPr>
      <w:rFonts w:ascii="Arial" w:eastAsia="Times New Roman" w:hAnsi="Arial" w:cs="Arial"/>
      <w:b/>
      <w:bCs/>
      <w:sz w:val="24"/>
      <w:szCs w:val="24"/>
    </w:rPr>
  </w:style>
  <w:style w:type="character" w:customStyle="1" w:styleId="Heading2Char">
    <w:name w:val="Heading 2 Char"/>
    <w:basedOn w:val="DefaultParagraphFont"/>
    <w:link w:val="Heading2"/>
    <w:rsid w:val="00503194"/>
    <w:rPr>
      <w:rFonts w:ascii="Arial" w:eastAsia="Times New Roman" w:hAnsi="Arial" w:cs="Arial"/>
      <w:b/>
      <w:bCs/>
      <w:sz w:val="24"/>
      <w:szCs w:val="24"/>
    </w:rPr>
  </w:style>
  <w:style w:type="paragraph" w:styleId="Title">
    <w:name w:val="Title"/>
    <w:basedOn w:val="Normal"/>
    <w:link w:val="TitleChar"/>
    <w:qFormat/>
    <w:rsid w:val="00503194"/>
    <w:pPr>
      <w:jc w:val="center"/>
    </w:pPr>
    <w:rPr>
      <w:rFonts w:cs="Arial"/>
      <w:b/>
      <w:bCs/>
      <w:sz w:val="24"/>
      <w:szCs w:val="24"/>
    </w:rPr>
  </w:style>
  <w:style w:type="character" w:customStyle="1" w:styleId="TitleChar">
    <w:name w:val="Title Char"/>
    <w:basedOn w:val="DefaultParagraphFont"/>
    <w:link w:val="Title"/>
    <w:rsid w:val="00503194"/>
    <w:rPr>
      <w:rFonts w:ascii="Arial" w:eastAsia="Times New Roman" w:hAnsi="Arial" w:cs="Arial"/>
      <w:b/>
      <w:bCs/>
      <w:sz w:val="24"/>
      <w:szCs w:val="24"/>
    </w:rPr>
  </w:style>
  <w:style w:type="paragraph" w:styleId="Subtitle">
    <w:name w:val="Subtitle"/>
    <w:basedOn w:val="Normal"/>
    <w:link w:val="SubtitleChar"/>
    <w:qFormat/>
    <w:rsid w:val="00503194"/>
    <w:pPr>
      <w:jc w:val="center"/>
    </w:pPr>
    <w:rPr>
      <w:rFonts w:cs="Arial"/>
      <w:b/>
      <w:bCs/>
      <w:sz w:val="24"/>
      <w:szCs w:val="24"/>
    </w:rPr>
  </w:style>
  <w:style w:type="character" w:customStyle="1" w:styleId="SubtitleChar">
    <w:name w:val="Subtitle Char"/>
    <w:basedOn w:val="DefaultParagraphFont"/>
    <w:link w:val="Subtitle"/>
    <w:rsid w:val="00503194"/>
    <w:rPr>
      <w:rFonts w:ascii="Arial" w:eastAsia="Times New Roman" w:hAnsi="Arial" w:cs="Arial"/>
      <w:b/>
      <w:bCs/>
      <w:sz w:val="24"/>
      <w:szCs w:val="24"/>
    </w:rPr>
  </w:style>
  <w:style w:type="paragraph" w:styleId="ListParagraph">
    <w:name w:val="List Paragraph"/>
    <w:basedOn w:val="Normal"/>
    <w:uiPriority w:val="34"/>
    <w:qFormat/>
    <w:rsid w:val="00503194"/>
    <w:pPr>
      <w:ind w:left="720"/>
      <w:contextualSpacing/>
    </w:pPr>
    <w:rPr>
      <w:rFonts w:ascii="Times New Roman" w:hAnsi="Times New Roman"/>
      <w:sz w:val="24"/>
      <w:szCs w:val="24"/>
    </w:rPr>
  </w:style>
  <w:style w:type="character" w:customStyle="1" w:styleId="apple-style-span">
    <w:name w:val="apple-style-span"/>
    <w:basedOn w:val="DefaultParagraphFont"/>
    <w:rsid w:val="00CB3823"/>
  </w:style>
  <w:style w:type="character" w:customStyle="1" w:styleId="apple-converted-space">
    <w:name w:val="apple-converted-space"/>
    <w:basedOn w:val="DefaultParagraphFont"/>
    <w:rsid w:val="00460EC5"/>
  </w:style>
  <w:style w:type="character" w:styleId="Emphasis">
    <w:name w:val="Emphasis"/>
    <w:basedOn w:val="DefaultParagraphFont"/>
    <w:uiPriority w:val="20"/>
    <w:qFormat/>
    <w:rsid w:val="001312D3"/>
    <w:rPr>
      <w:i/>
      <w:iCs/>
    </w:rPr>
  </w:style>
  <w:style w:type="character" w:styleId="Strong">
    <w:name w:val="Strong"/>
    <w:basedOn w:val="DefaultParagraphFont"/>
    <w:uiPriority w:val="22"/>
    <w:qFormat/>
    <w:rsid w:val="006E6436"/>
    <w:rPr>
      <w:b/>
      <w:bCs/>
    </w:rPr>
  </w:style>
  <w:style w:type="table" w:styleId="TableGrid">
    <w:name w:val="Table Grid"/>
    <w:basedOn w:val="TableNormal"/>
    <w:uiPriority w:val="59"/>
    <w:rsid w:val="009165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3D1847"/>
    <w:rPr>
      <w:rFonts w:eastAsia="Times New Roman"/>
      <w:sz w:val="22"/>
      <w:szCs w:val="22"/>
    </w:rPr>
  </w:style>
  <w:style w:type="paragraph" w:styleId="FootnoteText">
    <w:name w:val="footnote text"/>
    <w:basedOn w:val="Normal"/>
    <w:link w:val="FootnoteTextChar"/>
    <w:uiPriority w:val="99"/>
    <w:semiHidden/>
    <w:unhideWhenUsed/>
    <w:rsid w:val="009E1AEE"/>
    <w:rPr>
      <w:sz w:val="20"/>
      <w:szCs w:val="20"/>
    </w:rPr>
  </w:style>
  <w:style w:type="character" w:customStyle="1" w:styleId="FootnoteTextChar">
    <w:name w:val="Footnote Text Char"/>
    <w:basedOn w:val="DefaultParagraphFont"/>
    <w:link w:val="FootnoteText"/>
    <w:uiPriority w:val="99"/>
    <w:semiHidden/>
    <w:rsid w:val="009E1AEE"/>
    <w:rPr>
      <w:rFonts w:ascii="Arial" w:eastAsia="Times New Roman" w:hAnsi="Arial"/>
    </w:rPr>
  </w:style>
  <w:style w:type="character" w:styleId="FootnoteReference">
    <w:name w:val="footnote reference"/>
    <w:basedOn w:val="DefaultParagraphFont"/>
    <w:uiPriority w:val="99"/>
    <w:semiHidden/>
    <w:unhideWhenUsed/>
    <w:rsid w:val="009E1A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2F9"/>
    <w:rPr>
      <w:rFonts w:ascii="Arial" w:eastAsia="Times New Roman" w:hAnsi="Arial"/>
      <w:sz w:val="22"/>
      <w:szCs w:val="22"/>
    </w:rPr>
  </w:style>
  <w:style w:type="paragraph" w:styleId="Heading1">
    <w:name w:val="heading 1"/>
    <w:basedOn w:val="Normal"/>
    <w:next w:val="Normal"/>
    <w:link w:val="Heading1Char"/>
    <w:qFormat/>
    <w:rsid w:val="00503194"/>
    <w:pPr>
      <w:keepNext/>
      <w:tabs>
        <w:tab w:val="left" w:pos="720"/>
        <w:tab w:val="left" w:pos="1080"/>
        <w:tab w:val="left" w:pos="1800"/>
        <w:tab w:val="left" w:pos="5400"/>
      </w:tabs>
      <w:jc w:val="center"/>
      <w:outlineLvl w:val="0"/>
    </w:pPr>
    <w:rPr>
      <w:rFonts w:cs="Arial"/>
      <w:b/>
      <w:bCs/>
      <w:sz w:val="24"/>
      <w:szCs w:val="24"/>
    </w:rPr>
  </w:style>
  <w:style w:type="paragraph" w:styleId="Heading2">
    <w:name w:val="heading 2"/>
    <w:basedOn w:val="Normal"/>
    <w:next w:val="Normal"/>
    <w:link w:val="Heading2Char"/>
    <w:qFormat/>
    <w:rsid w:val="00503194"/>
    <w:pPr>
      <w:keepNext/>
      <w:tabs>
        <w:tab w:val="left" w:pos="720"/>
        <w:tab w:val="left" w:pos="1080"/>
        <w:tab w:val="left" w:pos="1440"/>
        <w:tab w:val="left" w:pos="1800"/>
        <w:tab w:val="left" w:pos="5400"/>
        <w:tab w:val="left" w:pos="5760"/>
        <w:tab w:val="left" w:pos="6120"/>
      </w:tabs>
      <w:ind w:left="720"/>
      <w:jc w:val="center"/>
      <w:outlineLvl w:val="1"/>
    </w:pPr>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C3D"/>
    <w:rPr>
      <w:rFonts w:ascii="Tahoma" w:hAnsi="Tahoma" w:cs="Tahoma"/>
      <w:sz w:val="16"/>
      <w:szCs w:val="16"/>
    </w:rPr>
  </w:style>
  <w:style w:type="character" w:customStyle="1" w:styleId="BalloonTextChar">
    <w:name w:val="Balloon Text Char"/>
    <w:basedOn w:val="DefaultParagraphFont"/>
    <w:link w:val="BalloonText"/>
    <w:uiPriority w:val="99"/>
    <w:semiHidden/>
    <w:rsid w:val="007B6C3D"/>
    <w:rPr>
      <w:rFonts w:ascii="Tahoma" w:hAnsi="Tahoma" w:cs="Tahoma"/>
      <w:sz w:val="16"/>
      <w:szCs w:val="16"/>
    </w:rPr>
  </w:style>
  <w:style w:type="paragraph" w:styleId="Header">
    <w:name w:val="header"/>
    <w:basedOn w:val="Normal"/>
    <w:link w:val="HeaderChar"/>
    <w:uiPriority w:val="99"/>
    <w:unhideWhenUsed/>
    <w:rsid w:val="000E768C"/>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sid w:val="000E768C"/>
  </w:style>
  <w:style w:type="paragraph" w:styleId="Footer">
    <w:name w:val="footer"/>
    <w:basedOn w:val="Normal"/>
    <w:link w:val="FooterChar"/>
    <w:uiPriority w:val="99"/>
    <w:unhideWhenUsed/>
    <w:rsid w:val="000E768C"/>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sid w:val="000E768C"/>
  </w:style>
  <w:style w:type="character" w:styleId="Hyperlink">
    <w:name w:val="Hyperlink"/>
    <w:basedOn w:val="DefaultParagraphFont"/>
    <w:uiPriority w:val="99"/>
    <w:unhideWhenUsed/>
    <w:rsid w:val="00B77F6C"/>
    <w:rPr>
      <w:color w:val="0000FF"/>
      <w:u w:val="single"/>
    </w:rPr>
  </w:style>
  <w:style w:type="character" w:customStyle="1" w:styleId="Heading1Char">
    <w:name w:val="Heading 1 Char"/>
    <w:basedOn w:val="DefaultParagraphFont"/>
    <w:link w:val="Heading1"/>
    <w:rsid w:val="00503194"/>
    <w:rPr>
      <w:rFonts w:ascii="Arial" w:eastAsia="Times New Roman" w:hAnsi="Arial" w:cs="Arial"/>
      <w:b/>
      <w:bCs/>
      <w:sz w:val="24"/>
      <w:szCs w:val="24"/>
    </w:rPr>
  </w:style>
  <w:style w:type="character" w:customStyle="1" w:styleId="Heading2Char">
    <w:name w:val="Heading 2 Char"/>
    <w:basedOn w:val="DefaultParagraphFont"/>
    <w:link w:val="Heading2"/>
    <w:rsid w:val="00503194"/>
    <w:rPr>
      <w:rFonts w:ascii="Arial" w:eastAsia="Times New Roman" w:hAnsi="Arial" w:cs="Arial"/>
      <w:b/>
      <w:bCs/>
      <w:sz w:val="24"/>
      <w:szCs w:val="24"/>
    </w:rPr>
  </w:style>
  <w:style w:type="paragraph" w:styleId="Title">
    <w:name w:val="Title"/>
    <w:basedOn w:val="Normal"/>
    <w:link w:val="TitleChar"/>
    <w:qFormat/>
    <w:rsid w:val="00503194"/>
    <w:pPr>
      <w:jc w:val="center"/>
    </w:pPr>
    <w:rPr>
      <w:rFonts w:cs="Arial"/>
      <w:b/>
      <w:bCs/>
      <w:sz w:val="24"/>
      <w:szCs w:val="24"/>
    </w:rPr>
  </w:style>
  <w:style w:type="character" w:customStyle="1" w:styleId="TitleChar">
    <w:name w:val="Title Char"/>
    <w:basedOn w:val="DefaultParagraphFont"/>
    <w:link w:val="Title"/>
    <w:rsid w:val="00503194"/>
    <w:rPr>
      <w:rFonts w:ascii="Arial" w:eastAsia="Times New Roman" w:hAnsi="Arial" w:cs="Arial"/>
      <w:b/>
      <w:bCs/>
      <w:sz w:val="24"/>
      <w:szCs w:val="24"/>
    </w:rPr>
  </w:style>
  <w:style w:type="paragraph" w:styleId="Subtitle">
    <w:name w:val="Subtitle"/>
    <w:basedOn w:val="Normal"/>
    <w:link w:val="SubtitleChar"/>
    <w:qFormat/>
    <w:rsid w:val="00503194"/>
    <w:pPr>
      <w:jc w:val="center"/>
    </w:pPr>
    <w:rPr>
      <w:rFonts w:cs="Arial"/>
      <w:b/>
      <w:bCs/>
      <w:sz w:val="24"/>
      <w:szCs w:val="24"/>
    </w:rPr>
  </w:style>
  <w:style w:type="character" w:customStyle="1" w:styleId="SubtitleChar">
    <w:name w:val="Subtitle Char"/>
    <w:basedOn w:val="DefaultParagraphFont"/>
    <w:link w:val="Subtitle"/>
    <w:rsid w:val="00503194"/>
    <w:rPr>
      <w:rFonts w:ascii="Arial" w:eastAsia="Times New Roman" w:hAnsi="Arial" w:cs="Arial"/>
      <w:b/>
      <w:bCs/>
      <w:sz w:val="24"/>
      <w:szCs w:val="24"/>
    </w:rPr>
  </w:style>
  <w:style w:type="paragraph" w:styleId="ListParagraph">
    <w:name w:val="List Paragraph"/>
    <w:basedOn w:val="Normal"/>
    <w:uiPriority w:val="34"/>
    <w:qFormat/>
    <w:rsid w:val="00503194"/>
    <w:pPr>
      <w:ind w:left="720"/>
      <w:contextualSpacing/>
    </w:pPr>
    <w:rPr>
      <w:rFonts w:ascii="Times New Roman" w:hAnsi="Times New Roman"/>
      <w:sz w:val="24"/>
      <w:szCs w:val="24"/>
    </w:rPr>
  </w:style>
  <w:style w:type="character" w:customStyle="1" w:styleId="apple-style-span">
    <w:name w:val="apple-style-span"/>
    <w:basedOn w:val="DefaultParagraphFont"/>
    <w:rsid w:val="00CB3823"/>
  </w:style>
  <w:style w:type="character" w:customStyle="1" w:styleId="apple-converted-space">
    <w:name w:val="apple-converted-space"/>
    <w:basedOn w:val="DefaultParagraphFont"/>
    <w:rsid w:val="00460EC5"/>
  </w:style>
  <w:style w:type="character" w:styleId="Emphasis">
    <w:name w:val="Emphasis"/>
    <w:basedOn w:val="DefaultParagraphFont"/>
    <w:uiPriority w:val="20"/>
    <w:qFormat/>
    <w:rsid w:val="001312D3"/>
    <w:rPr>
      <w:i/>
      <w:iCs/>
    </w:rPr>
  </w:style>
  <w:style w:type="character" w:styleId="Strong">
    <w:name w:val="Strong"/>
    <w:basedOn w:val="DefaultParagraphFont"/>
    <w:uiPriority w:val="22"/>
    <w:qFormat/>
    <w:rsid w:val="006E6436"/>
    <w:rPr>
      <w:b/>
      <w:bCs/>
    </w:rPr>
  </w:style>
  <w:style w:type="table" w:styleId="TableGrid">
    <w:name w:val="Table Grid"/>
    <w:basedOn w:val="TableNormal"/>
    <w:uiPriority w:val="59"/>
    <w:rsid w:val="009165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3D1847"/>
    <w:rPr>
      <w:rFonts w:eastAsia="Times New Roman"/>
      <w:sz w:val="22"/>
      <w:szCs w:val="22"/>
    </w:rPr>
  </w:style>
  <w:style w:type="paragraph" w:styleId="FootnoteText">
    <w:name w:val="footnote text"/>
    <w:basedOn w:val="Normal"/>
    <w:link w:val="FootnoteTextChar"/>
    <w:uiPriority w:val="99"/>
    <w:semiHidden/>
    <w:unhideWhenUsed/>
    <w:rsid w:val="009E1AEE"/>
    <w:rPr>
      <w:sz w:val="20"/>
      <w:szCs w:val="20"/>
    </w:rPr>
  </w:style>
  <w:style w:type="character" w:customStyle="1" w:styleId="FootnoteTextChar">
    <w:name w:val="Footnote Text Char"/>
    <w:basedOn w:val="DefaultParagraphFont"/>
    <w:link w:val="FootnoteText"/>
    <w:uiPriority w:val="99"/>
    <w:semiHidden/>
    <w:rsid w:val="009E1AEE"/>
    <w:rPr>
      <w:rFonts w:ascii="Arial" w:eastAsia="Times New Roman" w:hAnsi="Arial"/>
    </w:rPr>
  </w:style>
  <w:style w:type="character" w:styleId="FootnoteReference">
    <w:name w:val="footnote reference"/>
    <w:basedOn w:val="DefaultParagraphFont"/>
    <w:uiPriority w:val="99"/>
    <w:semiHidden/>
    <w:unhideWhenUsed/>
    <w:rsid w:val="009E1A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138">
      <w:bodyDiv w:val="1"/>
      <w:marLeft w:val="0"/>
      <w:marRight w:val="0"/>
      <w:marTop w:val="0"/>
      <w:marBottom w:val="0"/>
      <w:divBdr>
        <w:top w:val="none" w:sz="0" w:space="0" w:color="auto"/>
        <w:left w:val="none" w:sz="0" w:space="0" w:color="auto"/>
        <w:bottom w:val="none" w:sz="0" w:space="0" w:color="auto"/>
        <w:right w:val="none" w:sz="0" w:space="0" w:color="auto"/>
      </w:divBdr>
    </w:div>
    <w:div w:id="111218055">
      <w:bodyDiv w:val="1"/>
      <w:marLeft w:val="0"/>
      <w:marRight w:val="0"/>
      <w:marTop w:val="0"/>
      <w:marBottom w:val="0"/>
      <w:divBdr>
        <w:top w:val="none" w:sz="0" w:space="0" w:color="auto"/>
        <w:left w:val="none" w:sz="0" w:space="0" w:color="auto"/>
        <w:bottom w:val="none" w:sz="0" w:space="0" w:color="auto"/>
        <w:right w:val="none" w:sz="0" w:space="0" w:color="auto"/>
      </w:divBdr>
    </w:div>
    <w:div w:id="163740456">
      <w:bodyDiv w:val="1"/>
      <w:marLeft w:val="0"/>
      <w:marRight w:val="0"/>
      <w:marTop w:val="0"/>
      <w:marBottom w:val="0"/>
      <w:divBdr>
        <w:top w:val="none" w:sz="0" w:space="0" w:color="auto"/>
        <w:left w:val="none" w:sz="0" w:space="0" w:color="auto"/>
        <w:bottom w:val="none" w:sz="0" w:space="0" w:color="auto"/>
        <w:right w:val="none" w:sz="0" w:space="0" w:color="auto"/>
      </w:divBdr>
    </w:div>
    <w:div w:id="228080727">
      <w:bodyDiv w:val="1"/>
      <w:marLeft w:val="0"/>
      <w:marRight w:val="0"/>
      <w:marTop w:val="0"/>
      <w:marBottom w:val="0"/>
      <w:divBdr>
        <w:top w:val="none" w:sz="0" w:space="0" w:color="auto"/>
        <w:left w:val="none" w:sz="0" w:space="0" w:color="auto"/>
        <w:bottom w:val="none" w:sz="0" w:space="0" w:color="auto"/>
        <w:right w:val="none" w:sz="0" w:space="0" w:color="auto"/>
      </w:divBdr>
    </w:div>
    <w:div w:id="267473046">
      <w:bodyDiv w:val="1"/>
      <w:marLeft w:val="0"/>
      <w:marRight w:val="0"/>
      <w:marTop w:val="0"/>
      <w:marBottom w:val="0"/>
      <w:divBdr>
        <w:top w:val="none" w:sz="0" w:space="0" w:color="auto"/>
        <w:left w:val="none" w:sz="0" w:space="0" w:color="auto"/>
        <w:bottom w:val="none" w:sz="0" w:space="0" w:color="auto"/>
        <w:right w:val="none" w:sz="0" w:space="0" w:color="auto"/>
      </w:divBdr>
    </w:div>
    <w:div w:id="328675111">
      <w:bodyDiv w:val="1"/>
      <w:marLeft w:val="0"/>
      <w:marRight w:val="0"/>
      <w:marTop w:val="0"/>
      <w:marBottom w:val="0"/>
      <w:divBdr>
        <w:top w:val="none" w:sz="0" w:space="0" w:color="auto"/>
        <w:left w:val="none" w:sz="0" w:space="0" w:color="auto"/>
        <w:bottom w:val="none" w:sz="0" w:space="0" w:color="auto"/>
        <w:right w:val="none" w:sz="0" w:space="0" w:color="auto"/>
      </w:divBdr>
    </w:div>
    <w:div w:id="331178158">
      <w:bodyDiv w:val="1"/>
      <w:marLeft w:val="0"/>
      <w:marRight w:val="0"/>
      <w:marTop w:val="0"/>
      <w:marBottom w:val="0"/>
      <w:divBdr>
        <w:top w:val="none" w:sz="0" w:space="0" w:color="auto"/>
        <w:left w:val="none" w:sz="0" w:space="0" w:color="auto"/>
        <w:bottom w:val="none" w:sz="0" w:space="0" w:color="auto"/>
        <w:right w:val="none" w:sz="0" w:space="0" w:color="auto"/>
      </w:divBdr>
    </w:div>
    <w:div w:id="462189754">
      <w:bodyDiv w:val="1"/>
      <w:marLeft w:val="0"/>
      <w:marRight w:val="0"/>
      <w:marTop w:val="0"/>
      <w:marBottom w:val="0"/>
      <w:divBdr>
        <w:top w:val="none" w:sz="0" w:space="0" w:color="auto"/>
        <w:left w:val="none" w:sz="0" w:space="0" w:color="auto"/>
        <w:bottom w:val="none" w:sz="0" w:space="0" w:color="auto"/>
        <w:right w:val="none" w:sz="0" w:space="0" w:color="auto"/>
      </w:divBdr>
      <w:divsChild>
        <w:div w:id="888685396">
          <w:marLeft w:val="446"/>
          <w:marRight w:val="0"/>
          <w:marTop w:val="0"/>
          <w:marBottom w:val="0"/>
          <w:divBdr>
            <w:top w:val="none" w:sz="0" w:space="0" w:color="auto"/>
            <w:left w:val="none" w:sz="0" w:space="0" w:color="auto"/>
            <w:bottom w:val="none" w:sz="0" w:space="0" w:color="auto"/>
            <w:right w:val="none" w:sz="0" w:space="0" w:color="auto"/>
          </w:divBdr>
        </w:div>
      </w:divsChild>
    </w:div>
    <w:div w:id="471560112">
      <w:bodyDiv w:val="1"/>
      <w:marLeft w:val="0"/>
      <w:marRight w:val="0"/>
      <w:marTop w:val="0"/>
      <w:marBottom w:val="0"/>
      <w:divBdr>
        <w:top w:val="none" w:sz="0" w:space="0" w:color="auto"/>
        <w:left w:val="none" w:sz="0" w:space="0" w:color="auto"/>
        <w:bottom w:val="none" w:sz="0" w:space="0" w:color="auto"/>
        <w:right w:val="none" w:sz="0" w:space="0" w:color="auto"/>
      </w:divBdr>
    </w:div>
    <w:div w:id="511648947">
      <w:bodyDiv w:val="1"/>
      <w:marLeft w:val="0"/>
      <w:marRight w:val="0"/>
      <w:marTop w:val="0"/>
      <w:marBottom w:val="0"/>
      <w:divBdr>
        <w:top w:val="none" w:sz="0" w:space="0" w:color="auto"/>
        <w:left w:val="none" w:sz="0" w:space="0" w:color="auto"/>
        <w:bottom w:val="none" w:sz="0" w:space="0" w:color="auto"/>
        <w:right w:val="none" w:sz="0" w:space="0" w:color="auto"/>
      </w:divBdr>
    </w:div>
    <w:div w:id="552935464">
      <w:bodyDiv w:val="1"/>
      <w:marLeft w:val="0"/>
      <w:marRight w:val="0"/>
      <w:marTop w:val="0"/>
      <w:marBottom w:val="0"/>
      <w:divBdr>
        <w:top w:val="none" w:sz="0" w:space="0" w:color="auto"/>
        <w:left w:val="none" w:sz="0" w:space="0" w:color="auto"/>
        <w:bottom w:val="none" w:sz="0" w:space="0" w:color="auto"/>
        <w:right w:val="none" w:sz="0" w:space="0" w:color="auto"/>
      </w:divBdr>
    </w:div>
    <w:div w:id="723603805">
      <w:bodyDiv w:val="1"/>
      <w:marLeft w:val="0"/>
      <w:marRight w:val="0"/>
      <w:marTop w:val="0"/>
      <w:marBottom w:val="0"/>
      <w:divBdr>
        <w:top w:val="none" w:sz="0" w:space="0" w:color="auto"/>
        <w:left w:val="none" w:sz="0" w:space="0" w:color="auto"/>
        <w:bottom w:val="none" w:sz="0" w:space="0" w:color="auto"/>
        <w:right w:val="none" w:sz="0" w:space="0" w:color="auto"/>
      </w:divBdr>
    </w:div>
    <w:div w:id="758331180">
      <w:bodyDiv w:val="1"/>
      <w:marLeft w:val="0"/>
      <w:marRight w:val="0"/>
      <w:marTop w:val="0"/>
      <w:marBottom w:val="0"/>
      <w:divBdr>
        <w:top w:val="none" w:sz="0" w:space="0" w:color="auto"/>
        <w:left w:val="none" w:sz="0" w:space="0" w:color="auto"/>
        <w:bottom w:val="none" w:sz="0" w:space="0" w:color="auto"/>
        <w:right w:val="none" w:sz="0" w:space="0" w:color="auto"/>
      </w:divBdr>
    </w:div>
    <w:div w:id="920484865">
      <w:bodyDiv w:val="1"/>
      <w:marLeft w:val="0"/>
      <w:marRight w:val="0"/>
      <w:marTop w:val="0"/>
      <w:marBottom w:val="0"/>
      <w:divBdr>
        <w:top w:val="none" w:sz="0" w:space="0" w:color="auto"/>
        <w:left w:val="none" w:sz="0" w:space="0" w:color="auto"/>
        <w:bottom w:val="none" w:sz="0" w:space="0" w:color="auto"/>
        <w:right w:val="none" w:sz="0" w:space="0" w:color="auto"/>
      </w:divBdr>
      <w:divsChild>
        <w:div w:id="259603982">
          <w:marLeft w:val="446"/>
          <w:marRight w:val="0"/>
          <w:marTop w:val="0"/>
          <w:marBottom w:val="0"/>
          <w:divBdr>
            <w:top w:val="none" w:sz="0" w:space="0" w:color="auto"/>
            <w:left w:val="none" w:sz="0" w:space="0" w:color="auto"/>
            <w:bottom w:val="none" w:sz="0" w:space="0" w:color="auto"/>
            <w:right w:val="none" w:sz="0" w:space="0" w:color="auto"/>
          </w:divBdr>
        </w:div>
      </w:divsChild>
    </w:div>
    <w:div w:id="1102189312">
      <w:bodyDiv w:val="1"/>
      <w:marLeft w:val="0"/>
      <w:marRight w:val="0"/>
      <w:marTop w:val="0"/>
      <w:marBottom w:val="0"/>
      <w:divBdr>
        <w:top w:val="none" w:sz="0" w:space="0" w:color="auto"/>
        <w:left w:val="none" w:sz="0" w:space="0" w:color="auto"/>
        <w:bottom w:val="none" w:sz="0" w:space="0" w:color="auto"/>
        <w:right w:val="none" w:sz="0" w:space="0" w:color="auto"/>
      </w:divBdr>
      <w:divsChild>
        <w:div w:id="1533689729">
          <w:marLeft w:val="446"/>
          <w:marRight w:val="0"/>
          <w:marTop w:val="0"/>
          <w:marBottom w:val="0"/>
          <w:divBdr>
            <w:top w:val="none" w:sz="0" w:space="0" w:color="auto"/>
            <w:left w:val="none" w:sz="0" w:space="0" w:color="auto"/>
            <w:bottom w:val="none" w:sz="0" w:space="0" w:color="auto"/>
            <w:right w:val="none" w:sz="0" w:space="0" w:color="auto"/>
          </w:divBdr>
        </w:div>
      </w:divsChild>
    </w:div>
    <w:div w:id="1143352368">
      <w:bodyDiv w:val="1"/>
      <w:marLeft w:val="0"/>
      <w:marRight w:val="0"/>
      <w:marTop w:val="0"/>
      <w:marBottom w:val="0"/>
      <w:divBdr>
        <w:top w:val="none" w:sz="0" w:space="0" w:color="auto"/>
        <w:left w:val="none" w:sz="0" w:space="0" w:color="auto"/>
        <w:bottom w:val="none" w:sz="0" w:space="0" w:color="auto"/>
        <w:right w:val="none" w:sz="0" w:space="0" w:color="auto"/>
      </w:divBdr>
    </w:div>
    <w:div w:id="1209760126">
      <w:bodyDiv w:val="1"/>
      <w:marLeft w:val="0"/>
      <w:marRight w:val="0"/>
      <w:marTop w:val="0"/>
      <w:marBottom w:val="0"/>
      <w:divBdr>
        <w:top w:val="none" w:sz="0" w:space="0" w:color="auto"/>
        <w:left w:val="none" w:sz="0" w:space="0" w:color="auto"/>
        <w:bottom w:val="none" w:sz="0" w:space="0" w:color="auto"/>
        <w:right w:val="none" w:sz="0" w:space="0" w:color="auto"/>
      </w:divBdr>
    </w:div>
    <w:div w:id="1326202709">
      <w:bodyDiv w:val="1"/>
      <w:marLeft w:val="0"/>
      <w:marRight w:val="0"/>
      <w:marTop w:val="0"/>
      <w:marBottom w:val="0"/>
      <w:divBdr>
        <w:top w:val="none" w:sz="0" w:space="0" w:color="auto"/>
        <w:left w:val="none" w:sz="0" w:space="0" w:color="auto"/>
        <w:bottom w:val="none" w:sz="0" w:space="0" w:color="auto"/>
        <w:right w:val="none" w:sz="0" w:space="0" w:color="auto"/>
      </w:divBdr>
    </w:div>
    <w:div w:id="1328248024">
      <w:bodyDiv w:val="1"/>
      <w:marLeft w:val="0"/>
      <w:marRight w:val="0"/>
      <w:marTop w:val="0"/>
      <w:marBottom w:val="0"/>
      <w:divBdr>
        <w:top w:val="none" w:sz="0" w:space="0" w:color="auto"/>
        <w:left w:val="none" w:sz="0" w:space="0" w:color="auto"/>
        <w:bottom w:val="none" w:sz="0" w:space="0" w:color="auto"/>
        <w:right w:val="none" w:sz="0" w:space="0" w:color="auto"/>
      </w:divBdr>
      <w:divsChild>
        <w:div w:id="1440370185">
          <w:marLeft w:val="446"/>
          <w:marRight w:val="0"/>
          <w:marTop w:val="0"/>
          <w:marBottom w:val="0"/>
          <w:divBdr>
            <w:top w:val="none" w:sz="0" w:space="0" w:color="auto"/>
            <w:left w:val="none" w:sz="0" w:space="0" w:color="auto"/>
            <w:bottom w:val="none" w:sz="0" w:space="0" w:color="auto"/>
            <w:right w:val="none" w:sz="0" w:space="0" w:color="auto"/>
          </w:divBdr>
        </w:div>
      </w:divsChild>
    </w:div>
    <w:div w:id="1341617645">
      <w:bodyDiv w:val="1"/>
      <w:marLeft w:val="0"/>
      <w:marRight w:val="0"/>
      <w:marTop w:val="0"/>
      <w:marBottom w:val="0"/>
      <w:divBdr>
        <w:top w:val="none" w:sz="0" w:space="0" w:color="auto"/>
        <w:left w:val="none" w:sz="0" w:space="0" w:color="auto"/>
        <w:bottom w:val="none" w:sz="0" w:space="0" w:color="auto"/>
        <w:right w:val="none" w:sz="0" w:space="0" w:color="auto"/>
      </w:divBdr>
      <w:divsChild>
        <w:div w:id="1141382839">
          <w:marLeft w:val="446"/>
          <w:marRight w:val="0"/>
          <w:marTop w:val="0"/>
          <w:marBottom w:val="0"/>
          <w:divBdr>
            <w:top w:val="none" w:sz="0" w:space="0" w:color="auto"/>
            <w:left w:val="none" w:sz="0" w:space="0" w:color="auto"/>
            <w:bottom w:val="none" w:sz="0" w:space="0" w:color="auto"/>
            <w:right w:val="none" w:sz="0" w:space="0" w:color="auto"/>
          </w:divBdr>
        </w:div>
        <w:div w:id="803960266">
          <w:marLeft w:val="446"/>
          <w:marRight w:val="0"/>
          <w:marTop w:val="0"/>
          <w:marBottom w:val="0"/>
          <w:divBdr>
            <w:top w:val="none" w:sz="0" w:space="0" w:color="auto"/>
            <w:left w:val="none" w:sz="0" w:space="0" w:color="auto"/>
            <w:bottom w:val="none" w:sz="0" w:space="0" w:color="auto"/>
            <w:right w:val="none" w:sz="0" w:space="0" w:color="auto"/>
          </w:divBdr>
        </w:div>
        <w:div w:id="454519407">
          <w:marLeft w:val="446"/>
          <w:marRight w:val="0"/>
          <w:marTop w:val="0"/>
          <w:marBottom w:val="0"/>
          <w:divBdr>
            <w:top w:val="none" w:sz="0" w:space="0" w:color="auto"/>
            <w:left w:val="none" w:sz="0" w:space="0" w:color="auto"/>
            <w:bottom w:val="none" w:sz="0" w:space="0" w:color="auto"/>
            <w:right w:val="none" w:sz="0" w:space="0" w:color="auto"/>
          </w:divBdr>
        </w:div>
      </w:divsChild>
    </w:div>
    <w:div w:id="1401901490">
      <w:bodyDiv w:val="1"/>
      <w:marLeft w:val="0"/>
      <w:marRight w:val="0"/>
      <w:marTop w:val="0"/>
      <w:marBottom w:val="0"/>
      <w:divBdr>
        <w:top w:val="none" w:sz="0" w:space="0" w:color="auto"/>
        <w:left w:val="none" w:sz="0" w:space="0" w:color="auto"/>
        <w:bottom w:val="none" w:sz="0" w:space="0" w:color="auto"/>
        <w:right w:val="none" w:sz="0" w:space="0" w:color="auto"/>
      </w:divBdr>
    </w:div>
    <w:div w:id="1458791339">
      <w:bodyDiv w:val="1"/>
      <w:marLeft w:val="0"/>
      <w:marRight w:val="0"/>
      <w:marTop w:val="0"/>
      <w:marBottom w:val="0"/>
      <w:divBdr>
        <w:top w:val="none" w:sz="0" w:space="0" w:color="auto"/>
        <w:left w:val="none" w:sz="0" w:space="0" w:color="auto"/>
        <w:bottom w:val="none" w:sz="0" w:space="0" w:color="auto"/>
        <w:right w:val="none" w:sz="0" w:space="0" w:color="auto"/>
      </w:divBdr>
      <w:divsChild>
        <w:div w:id="2031057477">
          <w:marLeft w:val="446"/>
          <w:marRight w:val="0"/>
          <w:marTop w:val="0"/>
          <w:marBottom w:val="0"/>
          <w:divBdr>
            <w:top w:val="none" w:sz="0" w:space="0" w:color="auto"/>
            <w:left w:val="none" w:sz="0" w:space="0" w:color="auto"/>
            <w:bottom w:val="none" w:sz="0" w:space="0" w:color="auto"/>
            <w:right w:val="none" w:sz="0" w:space="0" w:color="auto"/>
          </w:divBdr>
        </w:div>
      </w:divsChild>
    </w:div>
    <w:div w:id="1577745276">
      <w:bodyDiv w:val="1"/>
      <w:marLeft w:val="0"/>
      <w:marRight w:val="0"/>
      <w:marTop w:val="0"/>
      <w:marBottom w:val="0"/>
      <w:divBdr>
        <w:top w:val="none" w:sz="0" w:space="0" w:color="auto"/>
        <w:left w:val="none" w:sz="0" w:space="0" w:color="auto"/>
        <w:bottom w:val="none" w:sz="0" w:space="0" w:color="auto"/>
        <w:right w:val="none" w:sz="0" w:space="0" w:color="auto"/>
      </w:divBdr>
    </w:div>
    <w:div w:id="1626037550">
      <w:bodyDiv w:val="1"/>
      <w:marLeft w:val="0"/>
      <w:marRight w:val="0"/>
      <w:marTop w:val="0"/>
      <w:marBottom w:val="0"/>
      <w:divBdr>
        <w:top w:val="none" w:sz="0" w:space="0" w:color="auto"/>
        <w:left w:val="none" w:sz="0" w:space="0" w:color="auto"/>
        <w:bottom w:val="none" w:sz="0" w:space="0" w:color="auto"/>
        <w:right w:val="none" w:sz="0" w:space="0" w:color="auto"/>
      </w:divBdr>
      <w:divsChild>
        <w:div w:id="584462238">
          <w:marLeft w:val="446"/>
          <w:marRight w:val="0"/>
          <w:marTop w:val="0"/>
          <w:marBottom w:val="0"/>
          <w:divBdr>
            <w:top w:val="none" w:sz="0" w:space="0" w:color="auto"/>
            <w:left w:val="none" w:sz="0" w:space="0" w:color="auto"/>
            <w:bottom w:val="none" w:sz="0" w:space="0" w:color="auto"/>
            <w:right w:val="none" w:sz="0" w:space="0" w:color="auto"/>
          </w:divBdr>
        </w:div>
      </w:divsChild>
    </w:div>
    <w:div w:id="1646809480">
      <w:bodyDiv w:val="1"/>
      <w:marLeft w:val="0"/>
      <w:marRight w:val="0"/>
      <w:marTop w:val="0"/>
      <w:marBottom w:val="0"/>
      <w:divBdr>
        <w:top w:val="none" w:sz="0" w:space="0" w:color="auto"/>
        <w:left w:val="none" w:sz="0" w:space="0" w:color="auto"/>
        <w:bottom w:val="none" w:sz="0" w:space="0" w:color="auto"/>
        <w:right w:val="none" w:sz="0" w:space="0" w:color="auto"/>
      </w:divBdr>
      <w:divsChild>
        <w:div w:id="2047364414">
          <w:marLeft w:val="0"/>
          <w:marRight w:val="0"/>
          <w:marTop w:val="0"/>
          <w:marBottom w:val="0"/>
          <w:divBdr>
            <w:top w:val="none" w:sz="0" w:space="0" w:color="auto"/>
            <w:left w:val="none" w:sz="0" w:space="0" w:color="auto"/>
            <w:bottom w:val="none" w:sz="0" w:space="0" w:color="auto"/>
            <w:right w:val="none" w:sz="0" w:space="0" w:color="auto"/>
          </w:divBdr>
        </w:div>
        <w:div w:id="1427388363">
          <w:marLeft w:val="0"/>
          <w:marRight w:val="0"/>
          <w:marTop w:val="0"/>
          <w:marBottom w:val="0"/>
          <w:divBdr>
            <w:top w:val="none" w:sz="0" w:space="0" w:color="auto"/>
            <w:left w:val="none" w:sz="0" w:space="0" w:color="auto"/>
            <w:bottom w:val="none" w:sz="0" w:space="0" w:color="auto"/>
            <w:right w:val="none" w:sz="0" w:space="0" w:color="auto"/>
          </w:divBdr>
        </w:div>
        <w:div w:id="214584104">
          <w:marLeft w:val="0"/>
          <w:marRight w:val="0"/>
          <w:marTop w:val="0"/>
          <w:marBottom w:val="0"/>
          <w:divBdr>
            <w:top w:val="none" w:sz="0" w:space="0" w:color="auto"/>
            <w:left w:val="none" w:sz="0" w:space="0" w:color="auto"/>
            <w:bottom w:val="none" w:sz="0" w:space="0" w:color="auto"/>
            <w:right w:val="none" w:sz="0" w:space="0" w:color="auto"/>
          </w:divBdr>
        </w:div>
      </w:divsChild>
    </w:div>
    <w:div w:id="1661694018">
      <w:bodyDiv w:val="1"/>
      <w:marLeft w:val="0"/>
      <w:marRight w:val="0"/>
      <w:marTop w:val="0"/>
      <w:marBottom w:val="0"/>
      <w:divBdr>
        <w:top w:val="none" w:sz="0" w:space="0" w:color="auto"/>
        <w:left w:val="none" w:sz="0" w:space="0" w:color="auto"/>
        <w:bottom w:val="none" w:sz="0" w:space="0" w:color="auto"/>
        <w:right w:val="none" w:sz="0" w:space="0" w:color="auto"/>
      </w:divBdr>
    </w:div>
    <w:div w:id="1669210936">
      <w:bodyDiv w:val="1"/>
      <w:marLeft w:val="0"/>
      <w:marRight w:val="0"/>
      <w:marTop w:val="0"/>
      <w:marBottom w:val="0"/>
      <w:divBdr>
        <w:top w:val="none" w:sz="0" w:space="0" w:color="auto"/>
        <w:left w:val="none" w:sz="0" w:space="0" w:color="auto"/>
        <w:bottom w:val="none" w:sz="0" w:space="0" w:color="auto"/>
        <w:right w:val="none" w:sz="0" w:space="0" w:color="auto"/>
      </w:divBdr>
    </w:div>
    <w:div w:id="1920678198">
      <w:bodyDiv w:val="1"/>
      <w:marLeft w:val="0"/>
      <w:marRight w:val="0"/>
      <w:marTop w:val="0"/>
      <w:marBottom w:val="0"/>
      <w:divBdr>
        <w:top w:val="none" w:sz="0" w:space="0" w:color="auto"/>
        <w:left w:val="none" w:sz="0" w:space="0" w:color="auto"/>
        <w:bottom w:val="none" w:sz="0" w:space="0" w:color="auto"/>
        <w:right w:val="none" w:sz="0" w:space="0" w:color="auto"/>
      </w:divBdr>
      <w:divsChild>
        <w:div w:id="89593597">
          <w:marLeft w:val="446"/>
          <w:marRight w:val="0"/>
          <w:marTop w:val="0"/>
          <w:marBottom w:val="0"/>
          <w:divBdr>
            <w:top w:val="none" w:sz="0" w:space="0" w:color="auto"/>
            <w:left w:val="none" w:sz="0" w:space="0" w:color="auto"/>
            <w:bottom w:val="none" w:sz="0" w:space="0" w:color="auto"/>
            <w:right w:val="none" w:sz="0" w:space="0" w:color="auto"/>
          </w:divBdr>
        </w:div>
      </w:divsChild>
    </w:div>
    <w:div w:id="2044667390">
      <w:bodyDiv w:val="1"/>
      <w:marLeft w:val="0"/>
      <w:marRight w:val="0"/>
      <w:marTop w:val="0"/>
      <w:marBottom w:val="0"/>
      <w:divBdr>
        <w:top w:val="none" w:sz="0" w:space="0" w:color="auto"/>
        <w:left w:val="none" w:sz="0" w:space="0" w:color="auto"/>
        <w:bottom w:val="none" w:sz="0" w:space="0" w:color="auto"/>
        <w:right w:val="none" w:sz="0" w:space="0" w:color="auto"/>
      </w:divBdr>
    </w:div>
    <w:div w:id="2051107448">
      <w:bodyDiv w:val="1"/>
      <w:marLeft w:val="0"/>
      <w:marRight w:val="0"/>
      <w:marTop w:val="0"/>
      <w:marBottom w:val="0"/>
      <w:divBdr>
        <w:top w:val="none" w:sz="0" w:space="0" w:color="auto"/>
        <w:left w:val="none" w:sz="0" w:space="0" w:color="auto"/>
        <w:bottom w:val="none" w:sz="0" w:space="0" w:color="auto"/>
        <w:right w:val="none" w:sz="0" w:space="0" w:color="auto"/>
      </w:divBdr>
    </w:div>
    <w:div w:id="20517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81EA4-31B4-4C52-874C-774871DC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nafc</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almario</dc:creator>
  <cp:lastModifiedBy>VENU VENU</cp:lastModifiedBy>
  <cp:revision>3</cp:revision>
  <cp:lastPrinted>2018-11-26T07:52:00Z</cp:lastPrinted>
  <dcterms:created xsi:type="dcterms:W3CDTF">2020-02-11T02:30:00Z</dcterms:created>
  <dcterms:modified xsi:type="dcterms:W3CDTF">2020-02-12T06:42:00Z</dcterms:modified>
</cp:coreProperties>
</file>